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B3" w:rsidRPr="000D3F70" w:rsidRDefault="008A76B3" w:rsidP="008A76B3">
      <w:pPr>
        <w:autoSpaceDE w:val="0"/>
        <w:autoSpaceDN w:val="0"/>
        <w:adjustRightInd w:val="0"/>
        <w:rPr>
          <w:rFonts w:cs="Calibri"/>
          <w:b/>
          <w:sz w:val="60"/>
          <w:szCs w:val="60"/>
        </w:rPr>
      </w:pPr>
      <w:r w:rsidRPr="000D3F70">
        <w:rPr>
          <w:rFonts w:cs="Cambria"/>
          <w:b/>
          <w:bCs/>
          <w:sz w:val="60"/>
          <w:szCs w:val="60"/>
          <w:u w:val="single"/>
        </w:rPr>
        <w:t xml:space="preserve">Gestion de l’Unité </w:t>
      </w:r>
      <w:r>
        <w:rPr>
          <w:rFonts w:cs="Cambria"/>
          <w:b/>
          <w:bCs/>
          <w:sz w:val="60"/>
          <w:szCs w:val="60"/>
          <w:u w:val="single"/>
        </w:rPr>
        <w:t>Commerciale</w:t>
      </w:r>
      <w:bookmarkStart w:id="0" w:name="_GoBack"/>
      <w:bookmarkEnd w:id="0"/>
    </w:p>
    <w:p w:rsidR="008A76B3" w:rsidRPr="000D3F70" w:rsidRDefault="008A76B3" w:rsidP="008A76B3">
      <w:pPr>
        <w:autoSpaceDE w:val="0"/>
        <w:autoSpaceDN w:val="0"/>
        <w:adjustRightInd w:val="0"/>
        <w:rPr>
          <w:rFonts w:cs="Calibri"/>
          <w:b/>
          <w:sz w:val="28"/>
          <w:szCs w:val="28"/>
        </w:rPr>
      </w:pPr>
    </w:p>
    <w:p w:rsidR="008A76B3" w:rsidRPr="000D3F70" w:rsidRDefault="008A76B3" w:rsidP="008A76B3">
      <w:pPr>
        <w:autoSpaceDE w:val="0"/>
        <w:autoSpaceDN w:val="0"/>
        <w:adjustRightInd w:val="0"/>
        <w:rPr>
          <w:rFonts w:cs="Cambria"/>
          <w:b/>
          <w:bCs/>
          <w:i/>
          <w:sz w:val="36"/>
          <w:szCs w:val="36"/>
        </w:rPr>
      </w:pPr>
      <w:r w:rsidRPr="000D3F70">
        <w:rPr>
          <w:rFonts w:cs="Cambria"/>
          <w:b/>
          <w:bCs/>
          <w:sz w:val="36"/>
          <w:szCs w:val="36"/>
        </w:rPr>
        <w:t xml:space="preserve"> « </w:t>
      </w:r>
      <w:r w:rsidRPr="000D3F70">
        <w:rPr>
          <w:rFonts w:cs="Cambria"/>
          <w:b/>
          <w:bCs/>
          <w:i/>
          <w:sz w:val="36"/>
          <w:szCs w:val="36"/>
        </w:rPr>
        <w:t>un lieu marchand</w:t>
      </w:r>
      <w:r w:rsidRPr="000D3F70">
        <w:rPr>
          <w:rFonts w:cs="Cambria"/>
          <w:b/>
          <w:bCs/>
          <w:sz w:val="36"/>
          <w:szCs w:val="36"/>
        </w:rPr>
        <w:t xml:space="preserve">, </w:t>
      </w:r>
      <w:r w:rsidRPr="000D3F70">
        <w:rPr>
          <w:rFonts w:cs="Cambria"/>
          <w:b/>
          <w:bCs/>
          <w:i/>
          <w:sz w:val="36"/>
          <w:szCs w:val="36"/>
        </w:rPr>
        <w:t>visible</w:t>
      </w:r>
      <w:r w:rsidRPr="000D3F70">
        <w:rPr>
          <w:rFonts w:cs="Cambria"/>
          <w:b/>
          <w:bCs/>
          <w:sz w:val="36"/>
          <w:szCs w:val="36"/>
        </w:rPr>
        <w:t xml:space="preserve"> et  </w:t>
      </w:r>
      <w:r w:rsidRPr="000D3F70">
        <w:rPr>
          <w:rFonts w:cs="Cambria"/>
          <w:b/>
          <w:bCs/>
          <w:i/>
          <w:sz w:val="36"/>
          <w:szCs w:val="36"/>
        </w:rPr>
        <w:t>accessible à la clientèle</w:t>
      </w:r>
    </w:p>
    <w:p w:rsidR="008A76B3" w:rsidRPr="000D3F70" w:rsidRDefault="008A76B3" w:rsidP="008A76B3">
      <w:pPr>
        <w:autoSpaceDE w:val="0"/>
        <w:autoSpaceDN w:val="0"/>
        <w:adjustRightInd w:val="0"/>
        <w:rPr>
          <w:rFonts w:cs="Calibri"/>
          <w:b/>
          <w:sz w:val="16"/>
          <w:szCs w:val="16"/>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xml:space="preserve"> : </w:t>
      </w:r>
      <w:r w:rsidRPr="000D3F70">
        <w:rPr>
          <w:b/>
          <w:sz w:val="40"/>
          <w:szCs w:val="40"/>
        </w:rPr>
        <w:t xml:space="preserve"> </w:t>
      </w:r>
      <w:r w:rsidRPr="008A76B3">
        <w:rPr>
          <w:b/>
          <w:sz w:val="40"/>
          <w:szCs w:val="40"/>
          <w:u w:val="single"/>
        </w:rPr>
        <w:t>Le Fonctionnement de l’Unité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w:t>
      </w:r>
      <w:r>
        <w:rPr>
          <w:b/>
          <w:sz w:val="32"/>
          <w:szCs w:val="32"/>
        </w:rPr>
        <w:t xml:space="preserve"> / La notion d’unité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B</w:t>
      </w:r>
      <w:r>
        <w:rPr>
          <w:b/>
          <w:sz w:val="32"/>
          <w:szCs w:val="32"/>
        </w:rPr>
        <w:t>/ Le réseau d’Unité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u w:val="single"/>
        </w:rPr>
      </w:pPr>
      <w:r w:rsidRPr="000D3F70">
        <w:rPr>
          <w:b/>
          <w:sz w:val="36"/>
          <w:szCs w:val="36"/>
          <w:u w:val="single"/>
        </w:rPr>
        <w:t>Titre II</w:t>
      </w:r>
      <w:r w:rsidRPr="000D3F70">
        <w:rPr>
          <w:b/>
          <w:sz w:val="40"/>
          <w:szCs w:val="40"/>
          <w:u w:val="single"/>
        </w:rPr>
        <w:t xml:space="preserve"> : </w:t>
      </w:r>
      <w:r w:rsidRPr="000D3F70">
        <w:rPr>
          <w:b/>
          <w:sz w:val="40"/>
          <w:szCs w:val="40"/>
        </w:rPr>
        <w:t xml:space="preserve"> </w:t>
      </w:r>
      <w:r w:rsidRPr="008A76B3">
        <w:rPr>
          <w:b/>
          <w:sz w:val="40"/>
          <w:szCs w:val="40"/>
          <w:u w:val="single"/>
        </w:rPr>
        <w:t xml:space="preserve">La Gestion courante de l’Unité </w:t>
      </w:r>
      <w:r>
        <w:rPr>
          <w:b/>
          <w:sz w:val="40"/>
          <w:szCs w:val="40"/>
          <w:u w:val="single"/>
        </w:rPr>
        <w:t>Commerciale</w:t>
      </w:r>
    </w:p>
    <w:p w:rsidR="008A76B3"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 Les flux économiques dans le cadr</w:t>
      </w:r>
      <w:r>
        <w:rPr>
          <w:b/>
          <w:sz w:val="32"/>
          <w:szCs w:val="32"/>
        </w:rPr>
        <w:t>e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overflowPunct w:val="0"/>
        <w:autoSpaceDE w:val="0"/>
        <w:autoSpaceDN w:val="0"/>
        <w:adjustRightInd w:val="0"/>
        <w:ind w:left="786"/>
        <w:textAlignment w:val="baseline"/>
        <w:rPr>
          <w:b/>
          <w:sz w:val="32"/>
          <w:szCs w:val="32"/>
        </w:rPr>
      </w:pPr>
      <w:r w:rsidRPr="000D3F70">
        <w:rPr>
          <w:b/>
          <w:sz w:val="32"/>
          <w:szCs w:val="32"/>
        </w:rPr>
        <w:t>Chapitre B / Le cycle d’exploitation, le besoin en fond de roulemen</w:t>
      </w:r>
      <w:r>
        <w:rPr>
          <w:b/>
          <w:sz w:val="32"/>
          <w:szCs w:val="32"/>
        </w:rPr>
        <w:t>t</w:t>
      </w:r>
    </w:p>
    <w:p w:rsidR="008A76B3"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xml:space="preserve"> : </w:t>
      </w:r>
      <w:r w:rsidRPr="000D3F70">
        <w:rPr>
          <w:b/>
          <w:sz w:val="40"/>
          <w:szCs w:val="40"/>
        </w:rPr>
        <w:t xml:space="preserve"> </w:t>
      </w:r>
      <w:r w:rsidRPr="008A76B3">
        <w:rPr>
          <w:b/>
          <w:sz w:val="40"/>
          <w:szCs w:val="40"/>
          <w:u w:val="single"/>
        </w:rPr>
        <w:t>Le Fonctionnement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ind w:left="786"/>
        <w:rPr>
          <w:b/>
          <w:sz w:val="40"/>
          <w:szCs w:val="40"/>
          <w:u w:val="single"/>
        </w:rPr>
      </w:pPr>
      <w:r w:rsidRPr="000D3F70">
        <w:rPr>
          <w:b/>
          <w:sz w:val="36"/>
          <w:szCs w:val="36"/>
          <w:u w:val="single"/>
        </w:rPr>
        <w:t>Chapitre A</w:t>
      </w:r>
      <w:r w:rsidRPr="000D3F70">
        <w:rPr>
          <w:b/>
          <w:sz w:val="36"/>
          <w:szCs w:val="36"/>
        </w:rPr>
        <w:t xml:space="preserve">   :  </w:t>
      </w:r>
      <w:r w:rsidRPr="000D3F70">
        <w:rPr>
          <w:b/>
          <w:sz w:val="40"/>
          <w:szCs w:val="40"/>
          <w:u w:val="single"/>
        </w:rPr>
        <w:t>L</w:t>
      </w:r>
      <w:r>
        <w:rPr>
          <w:b/>
          <w:sz w:val="40"/>
          <w:szCs w:val="40"/>
          <w:u w:val="single"/>
        </w:rPr>
        <w:t>a notion d’unité commerciale</w:t>
      </w:r>
    </w:p>
    <w:p w:rsidR="008A76B3" w:rsidRPr="000D3F70" w:rsidRDefault="008A76B3" w:rsidP="008A76B3">
      <w:pPr>
        <w:ind w:left="786"/>
        <w:rPr>
          <w:b/>
          <w:sz w:val="16"/>
          <w:szCs w:val="16"/>
          <w:u w:val="single"/>
        </w:rPr>
      </w:pPr>
    </w:p>
    <w:p w:rsidR="008A76B3" w:rsidRPr="000D3F70" w:rsidRDefault="008A76B3" w:rsidP="008A76B3">
      <w:pPr>
        <w:rPr>
          <w:sz w:val="16"/>
          <w:szCs w:val="16"/>
        </w:rPr>
      </w:pPr>
    </w:p>
    <w:p w:rsidR="008A76B3" w:rsidRPr="000D3F70" w:rsidRDefault="008A76B3" w:rsidP="008A76B3">
      <w:pPr>
        <w:autoSpaceDE w:val="0"/>
        <w:autoSpaceDN w:val="0"/>
        <w:adjustRightInd w:val="0"/>
        <w:rPr>
          <w:rFonts w:cs="Cambria"/>
          <w:b/>
          <w:bCs/>
          <w:u w:val="single"/>
        </w:rPr>
      </w:pPr>
      <w:r w:rsidRPr="000D3F70">
        <w:rPr>
          <w:rFonts w:cs="Cambria"/>
          <w:b/>
          <w:bCs/>
          <w:i/>
        </w:rPr>
        <w:t xml:space="preserve">Préambule : </w:t>
      </w:r>
      <w:r w:rsidRPr="000D3F70">
        <w:rPr>
          <w:rFonts w:cs="Cambria"/>
          <w:b/>
          <w:bCs/>
          <w:u w:val="single"/>
        </w:rPr>
        <w:t xml:space="preserve">La notion d’Unité </w:t>
      </w:r>
      <w:r>
        <w:rPr>
          <w:rFonts w:cs="Cambria"/>
          <w:b/>
          <w:bCs/>
          <w:u w:val="single"/>
        </w:rPr>
        <w:t xml:space="preserve"> Commerciale</w:t>
      </w:r>
      <w:r w:rsidRPr="000D3F70">
        <w:rPr>
          <w:rFonts w:cs="Cambria"/>
          <w:b/>
          <w:bCs/>
          <w:u w:val="single"/>
        </w:rPr>
        <w:t xml:space="preserve"> (U.C) : 3 concepts</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u w:val="single"/>
          <w:lang w:eastAsia="fr-FR"/>
        </w:rPr>
        <w:br/>
      </w:r>
      <w:r w:rsidRPr="000D3F70">
        <w:rPr>
          <w:rFonts w:eastAsia="Times New Roman" w:cs="Times New Roman"/>
          <w:b/>
          <w:u w:val="single"/>
          <w:lang w:eastAsia="fr-FR"/>
        </w:rPr>
        <w:t>Le concept d'organisation</w:t>
      </w:r>
      <w:r w:rsidRPr="000D3F70">
        <w:rPr>
          <w:rFonts w:eastAsia="Times New Roman" w:cs="Times New Roman"/>
          <w:lang w:eastAsia="fr-FR"/>
        </w:rPr>
        <w:br/>
        <w:t>Une organisation est un groupement humain et structuré. Certaines organisations sont importantes en taille et complexe, elles comprennent de multiples sociétés elles mêmes divisées en unité.</w:t>
      </w:r>
      <w:r w:rsidRPr="000D3F70">
        <w:rPr>
          <w:rFonts w:eastAsia="Times New Roman" w:cs="Times New Roman"/>
          <w:lang w:eastAsia="fr-FR"/>
        </w:rPr>
        <w:br/>
        <w:t>D'autres organisations sont constituées d'une seule unité.</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w:t>
      </w:r>
      <w:r w:rsidRPr="000D3F70">
        <w:rPr>
          <w:rFonts w:eastAsia="Times New Roman" w:cs="Times New Roman"/>
          <w:u w:val="single"/>
          <w:lang w:eastAsia="fr-FR"/>
        </w:rPr>
        <w:br/>
      </w:r>
      <w:r w:rsidRPr="000D3F70">
        <w:rPr>
          <w:rFonts w:eastAsia="Times New Roman" w:cs="Times New Roman"/>
          <w:lang w:eastAsia="fr-FR"/>
        </w:rPr>
        <w:t>Une unité est une équipe managée par un responsable, qui a la charge d’organiser le travail de l’équipe, de l’animer, de la stimuler et de la motiver afin d’atteindre les objectifs fixés.</w:t>
      </w:r>
    </w:p>
    <w:p w:rsidR="008A76B3" w:rsidRPr="000D3F70" w:rsidRDefault="008A76B3" w:rsidP="008A76B3">
      <w:pPr>
        <w:pStyle w:val="Paragraphedeliste"/>
        <w:numPr>
          <w:ilvl w:val="0"/>
          <w:numId w:val="7"/>
        </w:numPr>
        <w:autoSpaceDE w:val="0"/>
        <w:autoSpaceDN w:val="0"/>
        <w:adjustRightInd w:val="0"/>
        <w:rPr>
          <w:rFonts w:cs="Cambria"/>
          <w:b/>
          <w:bCs/>
          <w:color w:val="4F81BE"/>
          <w:sz w:val="32"/>
          <w:szCs w:val="32"/>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 commerciale</w:t>
      </w:r>
      <w:r w:rsidRPr="000D3F70">
        <w:rPr>
          <w:rFonts w:eastAsia="Times New Roman" w:cs="Times New Roman"/>
          <w:lang w:eastAsia="fr-FR"/>
        </w:rPr>
        <w:br/>
        <w:t>Une unité commerciale est un lieu physique ou virtuel ou le client est mit au contact d'une offre de produit ou de service. En l'absence d'espace, donc de contact, on ne parle plus d'UC, mais d'équipe commerciale.</w:t>
      </w:r>
      <w:r w:rsidRPr="000D3F70">
        <w:rPr>
          <w:rFonts w:eastAsia="Times New Roman" w:cs="Times New Roman"/>
          <w:lang w:eastAsia="fr-FR"/>
        </w:rPr>
        <w:br/>
      </w:r>
    </w:p>
    <w:p w:rsidR="008A76B3" w:rsidRDefault="008A76B3" w:rsidP="008A76B3">
      <w:pPr>
        <w:autoSpaceDE w:val="0"/>
        <w:autoSpaceDN w:val="0"/>
        <w:adjustRightInd w:val="0"/>
        <w:rPr>
          <w:rFonts w:cs="Cambria"/>
          <w:b/>
          <w:bCs/>
          <w:sz w:val="28"/>
          <w:szCs w:val="28"/>
        </w:rPr>
      </w:pPr>
    </w:p>
    <w:p w:rsidR="008A76B3" w:rsidRPr="000D3F70" w:rsidRDefault="008A76B3" w:rsidP="008A76B3">
      <w:pPr>
        <w:autoSpaceDE w:val="0"/>
        <w:autoSpaceDN w:val="0"/>
        <w:adjustRightInd w:val="0"/>
        <w:rPr>
          <w:rFonts w:cs="Calibri"/>
          <w:b/>
          <w:sz w:val="28"/>
          <w:szCs w:val="28"/>
        </w:rPr>
      </w:pPr>
      <w:r w:rsidRPr="000D3F70">
        <w:rPr>
          <w:rFonts w:cs="Cambria"/>
          <w:b/>
          <w:bCs/>
          <w:sz w:val="28"/>
          <w:szCs w:val="28"/>
        </w:rPr>
        <w:lastRenderedPageBreak/>
        <w:t xml:space="preserve">1 </w:t>
      </w:r>
      <w:r w:rsidRPr="000D3F70">
        <w:rPr>
          <w:rFonts w:cs="Cambria"/>
          <w:b/>
          <w:bCs/>
          <w:sz w:val="28"/>
          <w:szCs w:val="28"/>
          <w:u w:val="single"/>
        </w:rPr>
        <w:t>Définition de l’U.</w:t>
      </w:r>
      <w:r>
        <w:rPr>
          <w:rFonts w:cs="Cambria"/>
          <w:b/>
          <w:bCs/>
          <w:sz w:val="28"/>
          <w:szCs w:val="28"/>
          <w:u w:val="single"/>
        </w:rPr>
        <w:t>C</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L’UC est un lieu </w:t>
      </w:r>
      <w:r w:rsidRPr="000D3F70">
        <w:rPr>
          <w:rFonts w:cs="Calibri"/>
          <w:b/>
          <w:color w:val="000000"/>
          <w:u w:val="single"/>
        </w:rPr>
        <w:t xml:space="preserve">physique </w:t>
      </w:r>
      <w:r w:rsidRPr="000D3F70">
        <w:rPr>
          <w:rFonts w:cs="Calibri"/>
          <w:color w:val="000000"/>
        </w:rPr>
        <w:t xml:space="preserve">ou </w:t>
      </w:r>
      <w:r w:rsidRPr="000D3F70">
        <w:rPr>
          <w:rFonts w:cs="Calibri"/>
          <w:b/>
          <w:color w:val="000000"/>
        </w:rPr>
        <w:t>virtuel</w:t>
      </w:r>
      <w:r w:rsidRPr="000D3F70">
        <w:rPr>
          <w:rFonts w:cs="Calibri"/>
          <w:color w:val="000000"/>
        </w:rPr>
        <w:t xml:space="preserve"> (internet) permettant à un consommateur d’accéder à une offre de produits ou services.</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de visibilité et d’accessibilité (lieu physique/Virtuel) est essentielle</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w:t>
      </w:r>
      <w:r w:rsidRPr="000D3F70">
        <w:rPr>
          <w:rFonts w:cs="Calibri"/>
          <w:color w:val="76923C" w:themeColor="accent3" w:themeShade="BF"/>
          <w:sz w:val="28"/>
          <w:szCs w:val="28"/>
        </w:rPr>
        <w:t>’</w:t>
      </w:r>
      <w:r w:rsidRPr="000D3F70">
        <w:rPr>
          <w:rFonts w:cs="Calibri"/>
          <w:b/>
          <w:color w:val="4F6228" w:themeColor="accent3" w:themeShade="80"/>
          <w:sz w:val="28"/>
          <w:szCs w:val="28"/>
        </w:rPr>
        <w:t>Adéquation</w:t>
      </w:r>
      <w:r w:rsidRPr="000D3F70">
        <w:rPr>
          <w:rFonts w:cs="Calibri"/>
          <w:color w:val="4F6228" w:themeColor="accent3" w:themeShade="80"/>
        </w:rPr>
        <w:t xml:space="preserve"> </w:t>
      </w:r>
      <w:r w:rsidRPr="000D3F70">
        <w:rPr>
          <w:rFonts w:cs="Calibri"/>
          <w:color w:val="000000"/>
        </w:rPr>
        <w:t>entre l’offre et les besoins de la clientèle est primordiale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4"/>
        </w:numPr>
        <w:autoSpaceDE w:val="0"/>
        <w:autoSpaceDN w:val="0"/>
        <w:adjustRightInd w:val="0"/>
        <w:rPr>
          <w:rFonts w:cs="Calibri"/>
          <w:b/>
          <w:i/>
          <w:color w:val="4F6228" w:themeColor="accent3" w:themeShade="80"/>
          <w:sz w:val="28"/>
          <w:szCs w:val="28"/>
        </w:rPr>
      </w:pPr>
      <w:r w:rsidRPr="000D3F70">
        <w:rPr>
          <w:rFonts w:cs="Calibri"/>
          <w:color w:val="000000"/>
        </w:rPr>
        <w:t xml:space="preserve">L’U.C s’intègre dans un </w:t>
      </w:r>
      <w:r w:rsidRPr="000D3F70">
        <w:rPr>
          <w:rFonts w:cs="Calibri"/>
          <w:b/>
          <w:color w:val="000000"/>
          <w:sz w:val="28"/>
          <w:szCs w:val="28"/>
          <w:u w:val="single"/>
        </w:rPr>
        <w:t>espace</w:t>
      </w:r>
      <w:r w:rsidRPr="000D3F70">
        <w:rPr>
          <w:rFonts w:cs="Calibri"/>
          <w:b/>
          <w:color w:val="4F6228" w:themeColor="accent3" w:themeShade="80"/>
          <w:sz w:val="28"/>
          <w:szCs w:val="28"/>
        </w:rPr>
        <w:t>,</w:t>
      </w:r>
      <w:r w:rsidRPr="000D3F70">
        <w:rPr>
          <w:rFonts w:cs="Calibri"/>
          <w:color w:val="4F6228" w:themeColor="accent3" w:themeShade="80"/>
        </w:rPr>
        <w:t xml:space="preserve">  </w:t>
      </w:r>
      <w:r w:rsidRPr="000D3F70">
        <w:rPr>
          <w:rFonts w:cs="Calibri"/>
          <w:b/>
          <w:color w:val="4F6228" w:themeColor="accent3" w:themeShade="80"/>
          <w:sz w:val="28"/>
          <w:szCs w:val="28"/>
        </w:rPr>
        <w:t>V</w:t>
      </w:r>
      <w:r w:rsidRPr="000D3F70">
        <w:rPr>
          <w:rFonts w:cs="Calibri"/>
          <w:b/>
          <w:i/>
          <w:color w:val="4F6228" w:themeColor="accent3" w:themeShade="80"/>
          <w:sz w:val="28"/>
          <w:szCs w:val="28"/>
        </w:rPr>
        <w:t>isible,</w:t>
      </w:r>
      <w:r w:rsidRPr="000D3F70">
        <w:rPr>
          <w:rFonts w:cs="Calibri"/>
          <w:color w:val="000000"/>
          <w:sz w:val="28"/>
          <w:szCs w:val="28"/>
        </w:rPr>
        <w:t xml:space="preserve"> </w:t>
      </w:r>
      <w:r w:rsidRPr="000D3F70">
        <w:rPr>
          <w:rFonts w:cs="Calibri"/>
          <w:b/>
          <w:color w:val="000000"/>
          <w:sz w:val="28"/>
          <w:szCs w:val="28"/>
        </w:rPr>
        <w:t xml:space="preserve"> </w:t>
      </w:r>
      <w:r w:rsidRPr="000D3F70">
        <w:rPr>
          <w:rFonts w:cs="Calibri"/>
          <w:b/>
          <w:i/>
          <w:color w:val="4F6228" w:themeColor="accent3" w:themeShade="80"/>
          <w:sz w:val="28"/>
          <w:szCs w:val="28"/>
        </w:rPr>
        <w:t xml:space="preserve">Accessible </w:t>
      </w:r>
      <w:r w:rsidRPr="000D3F70">
        <w:rPr>
          <w:rFonts w:cs="Calibri"/>
          <w:b/>
          <w:i/>
          <w:color w:val="000000"/>
          <w:sz w:val="28"/>
          <w:szCs w:val="28"/>
        </w:rPr>
        <w:t xml:space="preserve">et </w:t>
      </w:r>
      <w:r w:rsidRPr="000D3F70">
        <w:rPr>
          <w:rFonts w:cs="Calibri"/>
          <w:b/>
          <w:i/>
          <w:color w:val="4F6228" w:themeColor="accent3" w:themeShade="80"/>
          <w:sz w:val="28"/>
          <w:szCs w:val="28"/>
        </w:rPr>
        <w:t>Marchand</w:t>
      </w:r>
    </w:p>
    <w:p w:rsidR="008A76B3" w:rsidRPr="000D3F70" w:rsidRDefault="008A76B3" w:rsidP="008A76B3">
      <w:pPr>
        <w:pStyle w:val="Paragraphedeliste"/>
        <w:numPr>
          <w:ilvl w:val="0"/>
          <w:numId w:val="4"/>
        </w:numPr>
        <w:autoSpaceDE w:val="0"/>
        <w:autoSpaceDN w:val="0"/>
        <w:adjustRightInd w:val="0"/>
        <w:rPr>
          <w:rFonts w:cs="Calibri"/>
          <w:b/>
          <w:color w:val="000000"/>
          <w:sz w:val="28"/>
          <w:szCs w:val="28"/>
        </w:rPr>
      </w:pPr>
      <w:r w:rsidRPr="000D3F70">
        <w:rPr>
          <w:rFonts w:cs="Calibri"/>
          <w:color w:val="000000"/>
        </w:rPr>
        <w:t xml:space="preserve">Cette espace  de contact </w:t>
      </w:r>
      <w:r w:rsidRPr="000D3F70">
        <w:rPr>
          <w:rFonts w:cs="Calibri"/>
          <w:color w:val="000000"/>
          <w:u w:val="single"/>
        </w:rPr>
        <w:t xml:space="preserve">au </w:t>
      </w:r>
      <w:r w:rsidRPr="000D3F70">
        <w:rPr>
          <w:rFonts w:cs="Calibri"/>
          <w:b/>
          <w:color w:val="000000"/>
          <w:u w:val="single"/>
        </w:rPr>
        <w:t>client</w:t>
      </w:r>
      <w:r w:rsidRPr="000D3F70">
        <w:rPr>
          <w:rFonts w:cs="Calibri"/>
          <w:color w:val="000000"/>
        </w:rPr>
        <w:t xml:space="preserve"> </w:t>
      </w:r>
      <w:r w:rsidRPr="000D3F70">
        <w:rPr>
          <w:rFonts w:cs="Calibri"/>
          <w:color w:val="000000"/>
          <w:u w:val="single"/>
        </w:rPr>
        <w:t xml:space="preserve">est animé par une </w:t>
      </w:r>
      <w:r w:rsidRPr="000D3F70">
        <w:rPr>
          <w:rFonts w:cs="Calibri"/>
          <w:b/>
          <w:color w:val="000000"/>
          <w:u w:val="single"/>
        </w:rPr>
        <w:t>équipe</w:t>
      </w: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u w:val="single"/>
        </w:rPr>
        <w:t>2/Les principaux types d’UC</w:t>
      </w:r>
    </w:p>
    <w:p w:rsidR="008A76B3" w:rsidRPr="000D3F70" w:rsidRDefault="008A76B3" w:rsidP="008A76B3">
      <w:pPr>
        <w:pStyle w:val="Paragraphedeliste"/>
        <w:autoSpaceDE w:val="0"/>
        <w:autoSpaceDN w:val="0"/>
        <w:adjustRightInd w:val="0"/>
        <w:ind w:left="2160"/>
        <w:rPr>
          <w:rFonts w:cs="Cambria"/>
          <w:b/>
          <w:bCs/>
          <w:sz w:val="28"/>
          <w:szCs w:val="28"/>
          <w:u w:val="single"/>
        </w:rPr>
      </w:pPr>
    </w:p>
    <w:p w:rsidR="008A76B3" w:rsidRPr="000D3F70" w:rsidRDefault="008A76B3" w:rsidP="008A76B3">
      <w:pPr>
        <w:autoSpaceDE w:val="0"/>
        <w:autoSpaceDN w:val="0"/>
        <w:adjustRightInd w:val="0"/>
        <w:rPr>
          <w:rFonts w:cs="Calibri"/>
          <w:b/>
          <w:color w:val="000000"/>
        </w:rPr>
      </w:pPr>
      <w:r w:rsidRPr="000D3F70">
        <w:rPr>
          <w:rFonts w:cs="Calibri"/>
          <w:b/>
          <w:color w:val="000000"/>
        </w:rPr>
        <w:t>a) Définition</w:t>
      </w:r>
    </w:p>
    <w:p w:rsidR="008A76B3" w:rsidRPr="000D3F70" w:rsidRDefault="008A76B3" w:rsidP="008A76B3">
      <w:pPr>
        <w:autoSpaceDE w:val="0"/>
        <w:autoSpaceDN w:val="0"/>
        <w:adjustRightInd w:val="0"/>
        <w:ind w:left="1080"/>
        <w:rPr>
          <w:rFonts w:cs="Calibri"/>
          <w:color w:val="000000"/>
        </w:rPr>
      </w:pPr>
    </w:p>
    <w:p w:rsidR="008A76B3" w:rsidRPr="000D3F70" w:rsidRDefault="008A76B3" w:rsidP="008A76B3">
      <w:pPr>
        <w:autoSpaceDE w:val="0"/>
        <w:autoSpaceDN w:val="0"/>
        <w:adjustRightInd w:val="0"/>
        <w:ind w:left="1080"/>
        <w:rPr>
          <w:rFonts w:cs="Calibri"/>
          <w:color w:val="000000"/>
        </w:rPr>
      </w:pPr>
      <w:r w:rsidRPr="000D3F70">
        <w:rPr>
          <w:rFonts w:cs="Calibri"/>
          <w:color w:val="000000"/>
        </w:rPr>
        <w:t>L’U.C  se compose toujours :</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 espace de contact au client</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d’une équipe  pour l’animer</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l’absence de cette espace, on ne parle plus d’UC mais </w:t>
      </w:r>
      <w:r w:rsidRPr="000D3F70">
        <w:rPr>
          <w:rFonts w:cs="Calibri"/>
          <w:b/>
          <w:color w:val="000000"/>
          <w:u w:val="single"/>
        </w:rPr>
        <w:t>d’équipe commerciale</w:t>
      </w:r>
      <w:r w:rsidRPr="000D3F70">
        <w:rPr>
          <w:rFonts w:cs="Calibri"/>
          <w:color w:val="000000"/>
        </w:rPr>
        <w:t xml:space="preserve"> </w:t>
      </w:r>
    </w:p>
    <w:p w:rsidR="008A76B3" w:rsidRPr="000D3F70" w:rsidRDefault="008A76B3" w:rsidP="008A76B3">
      <w:pPr>
        <w:autoSpaceDE w:val="0"/>
        <w:autoSpaceDN w:val="0"/>
        <w:adjustRightInd w:val="0"/>
        <w:rPr>
          <w:rFonts w:cs="Calibri"/>
          <w:color w:val="000000"/>
        </w:rPr>
      </w:pPr>
      <w:r w:rsidRPr="000D3F70">
        <w:rPr>
          <w:rFonts w:cs="Calibri"/>
          <w:color w:val="000000"/>
        </w:rPr>
        <w:t>Ces 2 formes peuvent se combiner en fonction de la typologie et le non proximité des clients (équipes itinérantes) :</w:t>
      </w:r>
    </w:p>
    <w:p w:rsidR="008A76B3" w:rsidRPr="000D3F70" w:rsidRDefault="008A76B3" w:rsidP="008A76B3">
      <w:pPr>
        <w:autoSpaceDE w:val="0"/>
        <w:autoSpaceDN w:val="0"/>
        <w:adjustRightInd w:val="0"/>
        <w:rPr>
          <w:rFonts w:cs="Calibri"/>
          <w:b/>
          <w:i/>
          <w:color w:val="4F6228" w:themeColor="accent3" w:themeShade="80"/>
          <w:sz w:val="28"/>
          <w:szCs w:val="28"/>
        </w:rPr>
      </w:pPr>
    </w:p>
    <w:p w:rsidR="008A76B3" w:rsidRPr="000D3F70" w:rsidRDefault="008A76B3" w:rsidP="008A76B3">
      <w:pPr>
        <w:autoSpaceDE w:val="0"/>
        <w:autoSpaceDN w:val="0"/>
        <w:adjustRightInd w:val="0"/>
        <w:rPr>
          <w:rFonts w:cs="Calibri"/>
          <w:b/>
          <w:color w:val="FF0000"/>
        </w:rPr>
      </w:pPr>
      <w:r w:rsidRPr="000D3F70">
        <w:rPr>
          <w:rFonts w:cs="Calibri"/>
          <w:b/>
          <w:color w:val="000000"/>
        </w:rPr>
        <w:t>b)Typologie des UC :</w:t>
      </w:r>
    </w:p>
    <w:p w:rsidR="008A76B3" w:rsidRPr="000D3F70" w:rsidRDefault="008A76B3" w:rsidP="008A76B3">
      <w:pPr>
        <w:autoSpaceDE w:val="0"/>
        <w:autoSpaceDN w:val="0"/>
        <w:adjustRightInd w:val="0"/>
        <w:rPr>
          <w:rFonts w:cs="Calibri"/>
          <w:b/>
          <w:color w:val="FF0000"/>
          <w:sz w:val="28"/>
          <w:szCs w:val="28"/>
        </w:rPr>
      </w:pP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Suivant cette  typologie</w:t>
      </w:r>
      <w:r w:rsidRPr="000D3F70">
        <w:rPr>
          <w:rFonts w:cs="Calibri"/>
          <w:b/>
          <w:color w:val="000000"/>
        </w:rPr>
        <w:t xml:space="preserve"> les composants et les caractéristiques </w:t>
      </w:r>
      <w:r w:rsidRPr="000D3F70">
        <w:rPr>
          <w:rFonts w:cs="Calibri"/>
          <w:color w:val="000000"/>
        </w:rPr>
        <w:t xml:space="preserve">varient </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destiné à la vente –</w:t>
      </w:r>
      <w:r w:rsidRPr="000D3F70">
        <w:rPr>
          <w:rFonts w:cs="Calibri"/>
          <w:color w:val="000000"/>
          <w:u w:val="single"/>
        </w:rPr>
        <w:t>lieu de rencontre</w:t>
      </w:r>
      <w:r w:rsidRPr="000D3F70">
        <w:rPr>
          <w:rFonts w:cs="Calibri"/>
          <w:color w:val="000000"/>
        </w:rPr>
        <w:t xml:space="preserv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Composants : (clientèle + personnel chargé de </w:t>
      </w:r>
      <w:r w:rsidRPr="000D3F70">
        <w:rPr>
          <w:rFonts w:cs="Calibri"/>
          <w:color w:val="000000"/>
          <w:u w:val="single"/>
        </w:rPr>
        <w:t>l’ approvisionnement</w:t>
      </w:r>
      <w:r w:rsidRPr="000D3F70">
        <w:rPr>
          <w:rFonts w:cs="Calibri"/>
          <w:color w:val="000000"/>
        </w:rPr>
        <w:t xml:space="preserve"> + </w:t>
      </w:r>
      <w:r w:rsidRPr="000D3F70">
        <w:rPr>
          <w:rFonts w:cs="Calibri"/>
          <w:color w:val="000000"/>
          <w:u w:val="single"/>
        </w:rPr>
        <w:t>zone de</w:t>
      </w:r>
      <w:r w:rsidRPr="000D3F70">
        <w:rPr>
          <w:rFonts w:cs="Calibri"/>
          <w:color w:val="000000"/>
        </w:rPr>
        <w:t xml:space="preserve"> </w:t>
      </w:r>
      <w:r w:rsidRPr="000D3F70">
        <w:rPr>
          <w:rFonts w:cs="Calibri"/>
          <w:color w:val="000000"/>
          <w:u w:val="single"/>
        </w:rPr>
        <w:t>stockage)</w:t>
      </w:r>
    </w:p>
    <w:p w:rsidR="008A76B3" w:rsidRPr="000D3F70" w:rsidRDefault="008A76B3" w:rsidP="008A76B3">
      <w:pPr>
        <w:autoSpaceDE w:val="0"/>
        <w:autoSpaceDN w:val="0"/>
        <w:adjustRightInd w:val="0"/>
        <w:rPr>
          <w:rFonts w:cs="Calibri"/>
          <w:color w:val="000000"/>
        </w:rPr>
      </w:pPr>
      <w:r w:rsidRPr="000D3F70">
        <w:rPr>
          <w:rFonts w:cs="Calibri"/>
          <w:color w:val="000000"/>
        </w:rPr>
        <w:t>Equipe variable suivant la taille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autoSpaceDE w:val="0"/>
        <w:autoSpaceDN w:val="0"/>
        <w:adjustRightInd w:val="0"/>
        <w:ind w:left="1416"/>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d’accueil au client –</w:t>
      </w:r>
      <w:r w:rsidRPr="000D3F70">
        <w:rPr>
          <w:rFonts w:cs="Calibri"/>
          <w:color w:val="000000"/>
          <w:u w:val="single"/>
        </w:rPr>
        <w:t>lieu d’information</w:t>
      </w:r>
      <w:r w:rsidRPr="000D3F70">
        <w:rPr>
          <w:rFonts w:cs="Calibri"/>
          <w:color w:val="000000"/>
        </w:rPr>
        <w:t xml:space="preserve"> au client et de  rencontre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Composants  (clientèle + c</w:t>
      </w:r>
      <w:r w:rsidRPr="000D3F70">
        <w:rPr>
          <w:rFonts w:cs="Calibri"/>
          <w:color w:val="000000"/>
          <w:u w:val="single"/>
        </w:rPr>
        <w:t>ommerciau</w:t>
      </w:r>
      <w:r w:rsidRPr="000D3F70">
        <w:rPr>
          <w:rFonts w:cs="Calibri"/>
          <w:color w:val="000000"/>
        </w:rPr>
        <w:t xml:space="preserve">x + </w:t>
      </w:r>
      <w:r w:rsidRPr="000D3F70">
        <w:rPr>
          <w:rFonts w:cs="Calibri"/>
          <w:color w:val="000000"/>
          <w:u w:val="single"/>
        </w:rPr>
        <w:t>personnel chargé da maintenance</w:t>
      </w:r>
      <w:r w:rsidRPr="000D3F70">
        <w:rPr>
          <w:rFonts w:cs="Calibri"/>
          <w:color w:val="000000"/>
        </w:rPr>
        <w:t>)</w:t>
      </w:r>
    </w:p>
    <w:p w:rsidR="008A76B3" w:rsidRPr="000D3F70" w:rsidRDefault="008A76B3" w:rsidP="008A76B3">
      <w:pPr>
        <w:autoSpaceDE w:val="0"/>
        <w:autoSpaceDN w:val="0"/>
        <w:adjustRightInd w:val="0"/>
        <w:rPr>
          <w:rFonts w:cs="Calibri"/>
          <w:color w:val="000000"/>
        </w:rPr>
      </w:pPr>
      <w:r w:rsidRPr="000D3F70">
        <w:rPr>
          <w:rFonts w:cs="Calibri"/>
          <w:color w:val="000000"/>
        </w:rPr>
        <w:t>Equipe pour animer l’agence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b/>
          <w:color w:val="000000"/>
        </w:rPr>
        <w:t>L</w:t>
      </w:r>
      <w:r w:rsidRPr="000D3F70">
        <w:rPr>
          <w:rFonts w:cs="Calibri"/>
          <w:color w:val="000000"/>
        </w:rPr>
        <w:t>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Site Marchand    –l </w:t>
      </w:r>
      <w:r w:rsidRPr="000D3F70">
        <w:rPr>
          <w:rFonts w:cs="Calibri"/>
          <w:color w:val="000000"/>
          <w:u w:val="single"/>
        </w:rPr>
        <w:t>espace ouvert sur le Web</w:t>
      </w:r>
      <w:r w:rsidRPr="000D3F70">
        <w:rPr>
          <w:rFonts w:cs="Calibri"/>
          <w:color w:val="000000"/>
        </w:rPr>
        <w:t xml:space="preserve"> </w:t>
      </w:r>
    </w:p>
    <w:p w:rsidR="008A76B3" w:rsidRPr="000D3F70" w:rsidRDefault="008A76B3" w:rsidP="008A76B3">
      <w:pPr>
        <w:autoSpaceDE w:val="0"/>
        <w:autoSpaceDN w:val="0"/>
        <w:adjustRightInd w:val="0"/>
        <w:rPr>
          <w:rFonts w:cs="Calibri"/>
          <w:b/>
          <w:color w:val="000000"/>
        </w:rPr>
      </w:pPr>
      <w:r w:rsidRPr="000D3F70">
        <w:rPr>
          <w:rFonts w:cs="Calibri"/>
          <w:color w:val="000000"/>
        </w:rPr>
        <w:t>Composants  (clientèle + managers , l’informatique/logistique souvent sous traitée</w:t>
      </w:r>
      <w:r w:rsidRPr="000D3F70">
        <w:rPr>
          <w:rFonts w:cs="Calibri"/>
          <w:b/>
          <w:color w:val="000000"/>
        </w:rPr>
        <w: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rPr>
        <w:t xml:space="preserve">3 </w:t>
      </w:r>
      <w:r w:rsidRPr="000D3F70">
        <w:rPr>
          <w:rFonts w:cs="Cambria"/>
          <w:b/>
          <w:bCs/>
          <w:sz w:val="28"/>
          <w:szCs w:val="28"/>
          <w:u w:val="single"/>
        </w:rPr>
        <w:t>Composition des UC</w:t>
      </w:r>
    </w:p>
    <w:p w:rsidR="008A76B3" w:rsidRPr="000D3F70" w:rsidRDefault="008A76B3" w:rsidP="008A76B3">
      <w:pPr>
        <w:autoSpaceDE w:val="0"/>
        <w:autoSpaceDN w:val="0"/>
        <w:adjustRightInd w:val="0"/>
        <w:rPr>
          <w:rFonts w:cs="Calibri"/>
          <w:b/>
          <w:i/>
          <w:color w:val="4F6228" w:themeColor="accent3" w:themeShade="80"/>
          <w:sz w:val="28"/>
          <w:szCs w:val="28"/>
        </w:rPr>
      </w:pPr>
      <w:r w:rsidRPr="000D3F70">
        <w:rPr>
          <w:rFonts w:cs="Calibri"/>
          <w:b/>
          <w:i/>
          <w:color w:val="4F6228" w:themeColor="accent3" w:themeShade="80"/>
          <w:sz w:val="28"/>
          <w:szCs w:val="28"/>
        </w:rPr>
        <w:t>Accessibilité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Compte tenu de la dispersion géographique de la clientèle , l’UC peut mettre en place</w:t>
      </w:r>
    </w:p>
    <w:p w:rsidR="008A76B3" w:rsidRPr="000D3F70" w:rsidRDefault="008A76B3" w:rsidP="008A76B3">
      <w:pPr>
        <w:autoSpaceDE w:val="0"/>
        <w:autoSpaceDN w:val="0"/>
        <w:adjustRightInd w:val="0"/>
        <w:rPr>
          <w:rFonts w:cs="Calibri"/>
          <w:color w:val="000000"/>
        </w:rPr>
      </w:pPr>
      <w:r w:rsidRPr="000D3F70">
        <w:rPr>
          <w:rFonts w:cs="Calibri"/>
          <w:color w:val="000000"/>
        </w:rPr>
        <w:t>Un réseau (multiplication des points de vente ou de service) , celui-ci peut intégrer des partenaires pour mettre à disposition l’offre</w:t>
      </w:r>
    </w:p>
    <w:p w:rsidR="008A76B3" w:rsidRPr="000D3F70" w:rsidRDefault="008A76B3" w:rsidP="008A76B3">
      <w:pPr>
        <w:autoSpaceDE w:val="0"/>
        <w:autoSpaceDN w:val="0"/>
        <w:adjustRightInd w:val="0"/>
        <w:rPr>
          <w:rFonts w:cs="Calibri"/>
          <w:b/>
          <w:color w:val="000000"/>
        </w:rPr>
      </w:pPr>
      <w:r w:rsidRPr="000D3F70">
        <w:rPr>
          <w:rFonts w:cs="Calibri"/>
          <w:b/>
          <w:color w:val="4F6228" w:themeColor="accent3" w:themeShade="80"/>
          <w:sz w:val="28"/>
          <w:szCs w:val="28"/>
        </w:rPr>
        <w:t>V</w:t>
      </w:r>
      <w:r w:rsidRPr="000D3F70">
        <w:rPr>
          <w:rFonts w:cs="Calibri"/>
          <w:b/>
          <w:i/>
          <w:color w:val="4F6228" w:themeColor="accent3" w:themeShade="80"/>
          <w:sz w:val="28"/>
          <w:szCs w:val="28"/>
        </w:rPr>
        <w:t>isibilité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Externe</w:t>
      </w:r>
      <w:r w:rsidRPr="000D3F70">
        <w:rPr>
          <w:rFonts w:cs="Calibri"/>
          <w:color w:val="000000"/>
        </w:rPr>
        <w:t xml:space="preserve">  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w:t>
      </w:r>
    </w:p>
    <w:p w:rsidR="008A76B3" w:rsidRPr="000D3F70" w:rsidRDefault="008A76B3" w:rsidP="008A76B3">
      <w:pPr>
        <w:autoSpaceDE w:val="0"/>
        <w:autoSpaceDN w:val="0"/>
        <w:adjustRightInd w:val="0"/>
        <w:rPr>
          <w:rFonts w:cs="Calibri"/>
          <w:color w:val="000000"/>
        </w:rPr>
      </w:pPr>
    </w:p>
    <w:p w:rsidR="008A76B3" w:rsidRDefault="008A76B3" w:rsidP="008A76B3">
      <w:pPr>
        <w:autoSpaceDE w:val="0"/>
        <w:autoSpaceDN w:val="0"/>
        <w:adjustRightInd w:val="0"/>
        <w:rPr>
          <w:rFonts w:cs="Calibri"/>
          <w:color w:val="000000"/>
        </w:rPr>
      </w:pPr>
      <w:r w:rsidRPr="000D3F70">
        <w:rPr>
          <w:rFonts w:cs="Calibri"/>
          <w:color w:val="000000"/>
          <w:u w:val="single"/>
        </w:rPr>
        <w:t xml:space="preserve">Interne </w:t>
      </w:r>
      <w:r w:rsidRPr="000D3F70">
        <w:rPr>
          <w:rFonts w:cs="Calibri"/>
          <w:color w:val="000000"/>
        </w:rPr>
        <w:t>l’organisation de travail, tout comme les domaines de gestion, logistiques  ou stratégiques  ont communes.</w:t>
      </w:r>
    </w:p>
    <w:p w:rsidR="008A76B3" w:rsidRPr="000D3F70" w:rsidRDefault="008A76B3" w:rsidP="008A76B3">
      <w:pPr>
        <w:autoSpaceDE w:val="0"/>
        <w:autoSpaceDN w:val="0"/>
        <w:adjustRightInd w:val="0"/>
        <w:rPr>
          <w:rFonts w:cs="Calibri"/>
          <w:color w:val="000000"/>
        </w:rPr>
      </w:pP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r w:rsidRPr="008A76B3">
        <w:rPr>
          <w:b/>
          <w:sz w:val="40"/>
          <w:szCs w:val="40"/>
        </w:rPr>
        <w:t xml:space="preserve">Chapitre B/ </w:t>
      </w:r>
      <w:r w:rsidRPr="008A76B3">
        <w:rPr>
          <w:b/>
          <w:sz w:val="40"/>
          <w:szCs w:val="40"/>
          <w:u w:val="single"/>
        </w:rPr>
        <w:t>Le réseau d’Unité Commerciale</w:t>
      </w: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1/ </w:t>
      </w:r>
      <w:r w:rsidRPr="000D3F70">
        <w:rPr>
          <w:rFonts w:cs="Cambria"/>
          <w:b/>
          <w:bCs/>
          <w:sz w:val="28"/>
          <w:szCs w:val="28"/>
          <w:u w:val="single"/>
        </w:rPr>
        <w:t xml:space="preserve">Définition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color w:val="4F81BE"/>
        </w:rPr>
      </w:pPr>
    </w:p>
    <w:p w:rsidR="008A76B3" w:rsidRPr="000D3F70" w:rsidRDefault="008A76B3" w:rsidP="008A76B3">
      <w:pPr>
        <w:autoSpaceDE w:val="0"/>
        <w:autoSpaceDN w:val="0"/>
        <w:adjustRightInd w:val="0"/>
        <w:rPr>
          <w:rFonts w:cs="Calibri"/>
          <w:b/>
          <w:color w:val="000000"/>
          <w:u w:val="single"/>
        </w:rPr>
      </w:pPr>
      <w:r w:rsidRPr="000D3F70">
        <w:rPr>
          <w:rFonts w:cs="Calibri"/>
          <w:color w:val="000000"/>
        </w:rPr>
        <w:t>Compte tenu de la dispersion géographique de la clientèle , l’U.C peut mettre en place Un réseau (multiplication des points de vente ou de service) , celui-ci peut intégrer des partenaires pour mettre à disposition l’offre (</w:t>
      </w:r>
      <w:r w:rsidRPr="000D3F70">
        <w:rPr>
          <w:rFonts w:cs="Calibri"/>
          <w:b/>
          <w:color w:val="000000"/>
          <w:u w:val="single"/>
        </w:rPr>
        <w:t>notion d’accessibilité)</w:t>
      </w:r>
    </w:p>
    <w:p w:rsidR="008A76B3" w:rsidRPr="000D3F70" w:rsidRDefault="008A76B3" w:rsidP="008A76B3">
      <w:pPr>
        <w:autoSpaceDE w:val="0"/>
        <w:autoSpaceDN w:val="0"/>
        <w:adjustRightInd w:val="0"/>
        <w:rPr>
          <w:rFonts w:cs="Cambria"/>
          <w:bCs/>
          <w:color w:val="4F81BE"/>
          <w:sz w:val="20"/>
          <w:szCs w:val="20"/>
        </w:rPr>
      </w:pPr>
    </w:p>
    <w:p w:rsidR="008A76B3" w:rsidRPr="000D3F70" w:rsidRDefault="008A76B3" w:rsidP="008A76B3">
      <w:pPr>
        <w:autoSpaceDE w:val="0"/>
        <w:autoSpaceDN w:val="0"/>
        <w:adjustRightInd w:val="0"/>
        <w:rPr>
          <w:rFonts w:cs="Cambria"/>
          <w:bCs/>
        </w:rPr>
      </w:pPr>
      <w:r w:rsidRPr="000D3F70">
        <w:rPr>
          <w:rFonts w:cs="Cambria"/>
          <w:bCs/>
        </w:rPr>
        <w:t>Selon la nature du bien ou du service , le réseau peut :</w:t>
      </w:r>
    </w:p>
    <w:p w:rsidR="008A76B3" w:rsidRPr="000D3F70" w:rsidRDefault="008A76B3" w:rsidP="008A76B3">
      <w:pPr>
        <w:autoSpaceDE w:val="0"/>
        <w:autoSpaceDN w:val="0"/>
        <w:adjustRightInd w:val="0"/>
        <w:rPr>
          <w:rFonts w:cs="Cambria"/>
          <w:bCs/>
        </w:rPr>
      </w:pP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contacter directement les prospects et clients</w:t>
      </w: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les attirer vers des lieux de mise à disposition de l’offre du réseau</w:t>
      </w:r>
    </w:p>
    <w:p w:rsidR="008A76B3" w:rsidRPr="000D3F70" w:rsidRDefault="008A76B3" w:rsidP="008A76B3">
      <w:pPr>
        <w:autoSpaceDE w:val="0"/>
        <w:autoSpaceDN w:val="0"/>
        <w:adjustRightInd w:val="0"/>
        <w:rPr>
          <w:rFonts w:cs="Cambria"/>
          <w:bCs/>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2/ </w:t>
      </w:r>
      <w:r w:rsidRPr="000D3F70">
        <w:rPr>
          <w:rFonts w:cs="Cambria"/>
          <w:b/>
          <w:bCs/>
          <w:sz w:val="28"/>
          <w:szCs w:val="28"/>
          <w:u w:val="single"/>
        </w:rPr>
        <w:t xml:space="preserve">Les composants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sz w:val="28"/>
          <w:szCs w:val="28"/>
        </w:rPr>
      </w:pPr>
    </w:p>
    <w:p w:rsidR="008A76B3" w:rsidRPr="000D3F70" w:rsidRDefault="008A76B3" w:rsidP="008A76B3">
      <w:pPr>
        <w:pStyle w:val="Paragraphedeliste"/>
        <w:numPr>
          <w:ilvl w:val="0"/>
          <w:numId w:val="9"/>
        </w:numPr>
        <w:autoSpaceDE w:val="0"/>
        <w:autoSpaceDN w:val="0"/>
        <w:adjustRightInd w:val="0"/>
        <w:rPr>
          <w:rFonts w:cs="Cambria"/>
          <w:b/>
          <w:bCs/>
        </w:rPr>
      </w:pPr>
      <w:r w:rsidRPr="000D3F70">
        <w:rPr>
          <w:rFonts w:cs="Cambria"/>
          <w:b/>
          <w:bCs/>
        </w:rPr>
        <w:t>La notion d’homogénéité de l’offre de biens et de services, et de l’organisation commune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 (Notion de visibilité Externe)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 xml:space="preserve">De même, </w:t>
      </w:r>
      <w:r w:rsidRPr="000D3F70">
        <w:rPr>
          <w:rFonts w:cs="Calibri"/>
          <w:color w:val="000000"/>
        </w:rPr>
        <w:t xml:space="preserve">l’organisation de travail, tout comme les domaines de gestion, logistiques  ou stratégiques  sont communes.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3/ </w:t>
      </w:r>
      <w:r w:rsidRPr="000D3F70">
        <w:rPr>
          <w:rFonts w:cs="Cambria"/>
          <w:b/>
          <w:bCs/>
          <w:sz w:val="28"/>
          <w:szCs w:val="28"/>
          <w:u w:val="single"/>
        </w:rPr>
        <w:t xml:space="preserve">Les  partenaires de l’Unité </w:t>
      </w:r>
      <w:r>
        <w:rPr>
          <w:rFonts w:cs="Cambria"/>
          <w:b/>
          <w:bCs/>
          <w:sz w:val="28"/>
          <w:szCs w:val="28"/>
          <w:u w:val="single"/>
        </w:rPr>
        <w:t>Commerciale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le cadre de son activité (marchande) l’UC, entretient nécessairement des échanges (marchands et/ou non marchands) avec des ces partenaires :</w:t>
      </w:r>
    </w:p>
    <w:p w:rsidR="008A76B3" w:rsidRPr="000D3F70" w:rsidRDefault="008A76B3" w:rsidP="008A76B3">
      <w:pPr>
        <w:pStyle w:val="NormalWeb"/>
        <w:rPr>
          <w:rFonts w:asciiTheme="minorHAnsi" w:hAnsiTheme="minorHAnsi" w:cs="Calibri"/>
          <w:b/>
          <w:color w:val="000000"/>
        </w:rPr>
      </w:pPr>
      <w:r w:rsidRPr="000D3F70">
        <w:rPr>
          <w:rFonts w:asciiTheme="minorHAnsi" w:hAnsiTheme="minorHAnsi"/>
        </w:rPr>
        <w:t>L’unité commerciale (UC) est vivante et à ce titre communique avec de nombreux partenaires</w:t>
      </w:r>
      <w:r w:rsidRPr="000D3F70">
        <w:rPr>
          <w:rFonts w:asciiTheme="minorHAnsi" w:hAnsiTheme="minorHAnsi"/>
        </w:rPr>
        <w:br/>
      </w:r>
      <w:r w:rsidRPr="000D3F70">
        <w:rPr>
          <w:rFonts w:asciiTheme="minorHAnsi" w:hAnsiTheme="minorHAnsi" w:cs="Calibri"/>
          <w:b/>
          <w:color w:val="000000"/>
        </w:rPr>
        <w:t>L’objectif du responsable à savoir, le  Manager, garant du bon fonctionnement de l’UC,  étant  de maintenir des relations durables auprès des :</w:t>
      </w:r>
    </w:p>
    <w:p w:rsidR="008A76B3" w:rsidRPr="000D3F70" w:rsidRDefault="008A76B3" w:rsidP="008A76B3">
      <w:pPr>
        <w:pStyle w:val="NormalWeb"/>
        <w:rPr>
          <w:rFonts w:asciiTheme="minorHAnsi" w:hAnsiTheme="minorHAnsi"/>
        </w:rPr>
      </w:pPr>
      <w:r w:rsidRPr="000D3F70">
        <w:rPr>
          <w:rFonts w:asciiTheme="minorHAnsi" w:hAnsiTheme="minorHAnsi"/>
          <w:b/>
          <w:u w:val="single"/>
        </w:rPr>
        <w:t>1/ Fournisseurs</w:t>
      </w:r>
      <w:r w:rsidRPr="000D3F70">
        <w:rPr>
          <w:rFonts w:asciiTheme="minorHAnsi" w:hAnsiTheme="minorHAnsi"/>
        </w:rPr>
        <w:br/>
        <w:t>Les fournisseurs sont des personnes très importantes pour l’UC car ce sont elles qui vont apporter à l’UC les biens ou prestations nécessaires pour qu’elle puisse fonctionner (machines, matières premières, entretien, maintenance, etc.).</w:t>
      </w:r>
    </w:p>
    <w:p w:rsidR="008A76B3" w:rsidRPr="000D3F70" w:rsidRDefault="008A76B3" w:rsidP="008A76B3">
      <w:pPr>
        <w:pStyle w:val="Paragraphedeliste"/>
        <w:numPr>
          <w:ilvl w:val="0"/>
          <w:numId w:val="12"/>
        </w:numPr>
        <w:autoSpaceDE w:val="0"/>
        <w:autoSpaceDN w:val="0"/>
        <w:adjustRightInd w:val="0"/>
        <w:rPr>
          <w:rFonts w:cs="Calibri"/>
          <w:color w:val="000000"/>
        </w:rPr>
      </w:pPr>
      <w:r w:rsidRPr="000D3F70">
        <w:rPr>
          <w:rFonts w:cs="Calibri"/>
          <w:color w:val="000000"/>
        </w:rPr>
        <w:t>l</w:t>
      </w:r>
      <w:r w:rsidRPr="000D3F70">
        <w:rPr>
          <w:rFonts w:cs="Calibri"/>
          <w:b/>
          <w:color w:val="000000"/>
        </w:rPr>
        <w:t>’objectif</w:t>
      </w:r>
      <w:r w:rsidRPr="000D3F70">
        <w:rPr>
          <w:rFonts w:cs="Calibri"/>
          <w:color w:val="000000"/>
        </w:rPr>
        <w:t xml:space="preserve"> étant de  maintenir la régularité , la conformité des produits et des conditions de prix assurant la rentabilité. Le respect des conditions et des délais de règlements est essentiel pour garantir cet équilibre.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pPr>
      <w:r w:rsidRPr="000D3F70">
        <w:rPr>
          <w:rFonts w:cs="Calibri"/>
          <w:b/>
          <w:color w:val="000000"/>
        </w:rPr>
        <w:t xml:space="preserve">2/ </w:t>
      </w:r>
      <w:r w:rsidRPr="000D3F70">
        <w:rPr>
          <w:b/>
          <w:u w:val="single"/>
        </w:rPr>
        <w:t>L’Etat et autres organismes attachés</w:t>
      </w:r>
      <w:r w:rsidRPr="000D3F70">
        <w:br/>
        <w:t>L’Etat est un partenaire crucial de l’UC. L’Etat ou les collectivités locales peut ainsi aider l’UC à s’implanter ou à obtenir des subventions et des aides.</w:t>
      </w:r>
      <w:r w:rsidRPr="000D3F70">
        <w:br/>
        <w:t>L’Etat ou les organismes associés récolte également les diverses cotisations, impôts et taxes que l’UC lui verse.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d’appliquer et de respecter  les procédures, et les échéances,  en terme de règlement (cotisations, taxes, amendes..) et de déclaration (personnel, URSSAF.</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3/ Les Actionnaires de l’UC</w:t>
      </w:r>
      <w:r w:rsidRPr="000D3F70">
        <w:rPr>
          <w:rFonts w:asciiTheme="minorHAnsi" w:hAnsiTheme="minorHAnsi"/>
        </w:rPr>
        <w:br/>
        <w:t>Les actionnaires de l’UC sont les personnes qui ont investi leurs fonds dans l’UC. Ces personnes peuvent être aussi bien des personnes physiques que des personnes morales (entreprises).</w:t>
      </w:r>
      <w:r w:rsidRPr="000D3F70">
        <w:rPr>
          <w:rFonts w:asciiTheme="minorHAnsi" w:hAnsiTheme="minorHAnsi"/>
        </w:rPr>
        <w:br/>
        <w:t>Les actionnaires définissent les grandes lignes stratégiques de l’UC et confient la mise en œuvre de celles-ci ainsi que la gestion quotidienne au(x) dirigeant(s) de l’UC.</w:t>
      </w:r>
      <w:r w:rsidRPr="000D3F70">
        <w:rPr>
          <w:rFonts w:asciiTheme="minorHAnsi" w:hAnsiTheme="minorHAnsi"/>
        </w:rPr>
        <w:br/>
        <w:t>Dans certains cas, les actionnaires et les dirigeants peuvent être les mêmes personnes.</w:t>
      </w:r>
      <w:r w:rsidRPr="000D3F70">
        <w:rPr>
          <w:rFonts w:asciiTheme="minorHAnsi" w:hAnsiTheme="minorHAnsi"/>
        </w:rPr>
        <w:br/>
        <w:t>Les actionnaires souhaitent retirer un certain rendement de leur investissement. Ce rendement leur est apporté au travers de deux moyens :</w:t>
      </w:r>
      <w:r w:rsidRPr="000D3F70">
        <w:rPr>
          <w:rFonts w:asciiTheme="minorHAnsi" w:hAnsiTheme="minorHAnsi"/>
        </w:rPr>
        <w:br/>
        <w:t>– Les dividendes qui correspondent à une partie du résultat annuel de l’UC qui est distribué aux actionnaires ;</w:t>
      </w:r>
      <w:r w:rsidRPr="000D3F70">
        <w:rPr>
          <w:rFonts w:asciiTheme="minorHAnsi" w:hAnsiTheme="minorHAnsi"/>
        </w:rPr>
        <w:br/>
        <w:t>– La revente de l’UC qui leur permettra de dégager éventuellement une plus-value par rapport à leur investissement de départ.</w:t>
      </w: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 plan stratégique, d’appliquer la transparence, la fluidité des informations et de garantir le résultat de façon à assurer le versement de dividendes.</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4/ Les organismes bancaires</w:t>
      </w:r>
      <w:r w:rsidRPr="000D3F70">
        <w:rPr>
          <w:rFonts w:asciiTheme="minorHAnsi" w:hAnsiTheme="minorHAnsi"/>
          <w:b/>
          <w:u w:val="single"/>
        </w:rPr>
        <w:br/>
      </w:r>
      <w:r w:rsidRPr="000D3F70">
        <w:rPr>
          <w:rFonts w:asciiTheme="minorHAnsi" w:hAnsiTheme="minorHAnsi"/>
        </w:rPr>
        <w:t>Les banques assurent une partie importante du financement des UC. Les banques peuvent ainsi accorder des emprunts à l’UC afin que celle-ci puisse réaliser ses projets (construction d’une nouvelle unité de vente, construction d’une nouvelle installation, acquisition d’une nouvelle machine, etc.).</w:t>
      </w:r>
    </w:p>
    <w:p w:rsidR="008A76B3" w:rsidRPr="000D3F70" w:rsidRDefault="008A76B3" w:rsidP="008A76B3">
      <w:pPr>
        <w:pStyle w:val="NormalWeb"/>
        <w:rPr>
          <w:rFonts w:asciiTheme="minorHAnsi" w:hAnsiTheme="minorHAnsi"/>
        </w:rPr>
      </w:pPr>
      <w:r w:rsidRPr="000D3F70">
        <w:rPr>
          <w:rFonts w:asciiTheme="minorHAnsi" w:hAnsiTheme="minorHAnsi"/>
        </w:rPr>
        <w:t>Les banques demandent à se faire rémunérer pour les emprunts qu’elles accordent. Cette rémunération s’appelle les intérêts. Ceux-ci peuvent être fixes ou variables. Nous y reviendrons dans une leçon ultérieure.</w:t>
      </w:r>
    </w:p>
    <w:p w:rsidR="008A76B3" w:rsidRPr="000D3F70" w:rsidRDefault="008A76B3" w:rsidP="008A76B3">
      <w:pPr>
        <w:pStyle w:val="NormalWeb"/>
        <w:rPr>
          <w:rFonts w:asciiTheme="minorHAnsi" w:hAnsiTheme="minorHAnsi"/>
        </w:rPr>
      </w:pPr>
      <w:r w:rsidRPr="000D3F70">
        <w:rPr>
          <w:rFonts w:asciiTheme="minorHAnsi" w:hAnsiTheme="minorHAnsi"/>
        </w:rPr>
        <w:t>Les banques peuvent demander à l’UC des garanties pour l’emprunt qu’elle lui accorde. Ces garanties peuvent prendre diverses formes (hypothèque sur les biens immobiliers détenus par l’entreprise, interdiction de vendre certains actifs sans en avertir la banque, etc.).</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les encours, le remboursement des emprunts,  et la transparence des comptes et du résultat d’exploitation.</w:t>
      </w:r>
    </w:p>
    <w:p w:rsidR="008A76B3" w:rsidRPr="000D3F70" w:rsidRDefault="008A76B3" w:rsidP="008A76B3">
      <w:pPr>
        <w:pStyle w:val="NormalWeb"/>
        <w:rPr>
          <w:rFonts w:asciiTheme="minorHAnsi" w:hAnsiTheme="minorHAnsi" w:cs="Calibri"/>
          <w:color w:val="000000"/>
        </w:rPr>
      </w:pPr>
      <w:r w:rsidRPr="000D3F70">
        <w:rPr>
          <w:rFonts w:asciiTheme="minorHAnsi" w:hAnsiTheme="minorHAnsi"/>
          <w:b/>
          <w:u w:val="single"/>
        </w:rPr>
        <w:t>5/ Les salariés</w:t>
      </w:r>
      <w:r w:rsidRPr="000D3F70">
        <w:rPr>
          <w:rFonts w:asciiTheme="minorHAnsi" w:hAnsiTheme="minorHAnsi"/>
        </w:rPr>
        <w:br/>
        <w:t xml:space="preserve">Pour fonctionner, toute UC a besoin de main-d’œuvre. </w:t>
      </w:r>
      <w:r w:rsidRPr="000D3F70">
        <w:rPr>
          <w:rFonts w:asciiTheme="minorHAnsi" w:hAnsiTheme="minorHAnsi" w:cs="Calibri"/>
          <w:color w:val="000000"/>
        </w:rPr>
        <w:t>Le personnel de contact est un élément clé dans l’acte de vente et de fidélisation</w:t>
      </w:r>
      <w:r w:rsidRPr="000D3F70">
        <w:rPr>
          <w:rFonts w:asciiTheme="minorHAnsi" w:hAnsiTheme="minorHAnsi"/>
        </w:rPr>
        <w:t xml:space="preserve"> Celle-ci participe directement au développement et à l’image de l’UC. Les salariés doivent être correctement formés afin de pouvoir remplir correctement leurs taches. Les salariés peuvent également être motivés par diverses actions notamment liées à leur rémunération (bonus, primes, etc.).</w:t>
      </w:r>
      <w:r w:rsidRPr="000D3F70">
        <w:rPr>
          <w:rFonts w:asciiTheme="minorHAnsi" w:hAnsiTheme="minorHAnsi" w:cs="Calibri"/>
          <w:color w:val="000000"/>
        </w:rPr>
        <w:t xml:space="preserve"> l</w:t>
      </w:r>
    </w:p>
    <w:p w:rsidR="008A76B3" w:rsidRPr="000D3F70" w:rsidRDefault="008A76B3" w:rsidP="008A76B3">
      <w:pPr>
        <w:pStyle w:val="NormalWeb"/>
        <w:rPr>
          <w:rFonts w:asciiTheme="minorHAnsi" w:hAnsiTheme="minorHAnsi" w:cs="Calibri"/>
          <w:color w:val="000000"/>
        </w:rPr>
      </w:pPr>
      <w:r w:rsidRPr="000D3F70">
        <w:rPr>
          <w:rFonts w:asciiTheme="minorHAnsi" w:hAnsiTheme="minorHAnsi" w:cs="Calibri"/>
          <w:color w:val="000000"/>
        </w:rPr>
        <w:t>Le personnel de contact est un élément clé dans l’acte de vente et de fidélisation.</w:t>
      </w:r>
    </w:p>
    <w:p w:rsidR="008A76B3" w:rsidRPr="000D3F70" w:rsidRDefault="008A76B3" w:rsidP="008A76B3">
      <w:pPr>
        <w:pStyle w:val="NormalWeb"/>
        <w:numPr>
          <w:ilvl w:val="0"/>
          <w:numId w:val="13"/>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 xml:space="preserve">’objectif </w:t>
      </w:r>
      <w:r w:rsidRPr="000D3F70">
        <w:rPr>
          <w:rFonts w:asciiTheme="minorHAnsi" w:hAnsiTheme="minorHAnsi" w:cs="Calibri"/>
          <w:color w:val="000000"/>
        </w:rPr>
        <w:t xml:space="preserve"> est de mettre en place un management et une politique R.H sonpour maintenir le degré de motivation (condition et aménagement du temps de travail, politique salariales, mix rémunération, besoin e formation,…) et de garantir ainsi la qualité de service et de rentabilité.</w:t>
      </w:r>
    </w:p>
    <w:p w:rsidR="008A76B3" w:rsidRPr="000D3F70" w:rsidRDefault="008A76B3" w:rsidP="008A76B3">
      <w:pPr>
        <w:pStyle w:val="NormalWeb"/>
        <w:rPr>
          <w:rFonts w:asciiTheme="minorHAnsi" w:hAnsiTheme="minorHAnsi"/>
        </w:rPr>
      </w:pPr>
      <w:r w:rsidRPr="000D3F70">
        <w:rPr>
          <w:rFonts w:asciiTheme="minorHAnsi" w:hAnsiTheme="minorHAnsi"/>
          <w:b/>
          <w:u w:val="single"/>
        </w:rPr>
        <w:t>6/ Les clients</w:t>
      </w:r>
      <w:r w:rsidRPr="000D3F70">
        <w:rPr>
          <w:rFonts w:asciiTheme="minorHAnsi" w:hAnsiTheme="minorHAnsi"/>
          <w:b/>
        </w:rPr>
        <w:br/>
      </w:r>
      <w:r w:rsidRPr="000D3F70">
        <w:rPr>
          <w:rFonts w:asciiTheme="minorHAnsi" w:hAnsiTheme="minorHAnsi"/>
        </w:rPr>
        <w:t>Les clients sont les personnes auxquelles l’UC va vendre ses produits ou ses services.</w:t>
      </w:r>
      <w:r w:rsidRPr="000D3F70">
        <w:rPr>
          <w:rFonts w:asciiTheme="minorHAnsi" w:hAnsiTheme="minorHAnsi"/>
        </w:rPr>
        <w:br/>
        <w:t xml:space="preserve">Les clients peuvent être des personnes physiques ou des personnes morales suivant le type de bien ou service vendu par l’entreprise, l’Etat, des associations, etc… </w:t>
      </w:r>
    </w:p>
    <w:p w:rsidR="008A76B3" w:rsidRPr="000D3F70" w:rsidRDefault="008A76B3" w:rsidP="008A76B3">
      <w:pPr>
        <w:pStyle w:val="NormalWeb"/>
        <w:rPr>
          <w:rFonts w:asciiTheme="minorHAnsi" w:hAnsiTheme="minorHAnsi"/>
        </w:rPr>
      </w:pPr>
      <w:r w:rsidRPr="000D3F70">
        <w:rPr>
          <w:rFonts w:asciiTheme="minorHAnsi" w:hAnsiTheme="minorHAnsi"/>
        </w:rPr>
        <w:t>Cette différence dans la typologie des clients nécessite de la part de l’UC une adaptation de sa communication.</w:t>
      </w:r>
      <w:r w:rsidRPr="000D3F70">
        <w:rPr>
          <w:rFonts w:asciiTheme="minorHAnsi" w:hAnsiTheme="minorHAnsi"/>
        </w:rPr>
        <w:br/>
        <w:t>Afin de développer sa clientèle, l’UC doit répondre aux besoins de celle-ci et leur assurer un service de qualité tant dans la vente que dans l’après-vente.</w:t>
      </w:r>
    </w:p>
    <w:p w:rsidR="008A76B3" w:rsidRPr="000D3F70" w:rsidRDefault="008A76B3" w:rsidP="008A76B3">
      <w:pPr>
        <w:pStyle w:val="NormalWeb"/>
        <w:numPr>
          <w:ilvl w:val="0"/>
          <w:numId w:val="14"/>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’objectif</w:t>
      </w:r>
      <w:r w:rsidRPr="000D3F70">
        <w:rPr>
          <w:rFonts w:asciiTheme="minorHAnsi" w:hAnsiTheme="minorHAnsi" w:cs="Calibri"/>
          <w:color w:val="000000"/>
        </w:rPr>
        <w:t xml:space="preserve"> étant de  développer la clientèle en restant en adéquation avec ses besoins (nature du produit et prix), et de pérenniser cette relation (fidélisation). L’UC doit veiller également au respect des délais de paiement pour maintenir son équilibre  financier au regard de son cycle d’exploitation.</w:t>
      </w:r>
    </w:p>
    <w:p w:rsidR="008A76B3" w:rsidRPr="000D3F70" w:rsidRDefault="008A76B3" w:rsidP="008A76B3">
      <w:pPr>
        <w:pStyle w:val="NormalWeb"/>
        <w:rPr>
          <w:rFonts w:asciiTheme="minorHAnsi" w:hAnsiTheme="minorHAnsi"/>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4/ Les  </w:t>
      </w:r>
      <w:r w:rsidRPr="000D3F70">
        <w:rPr>
          <w:rFonts w:cs="Calibri"/>
          <w:b/>
          <w:color w:val="000000"/>
          <w:sz w:val="28"/>
          <w:szCs w:val="28"/>
        </w:rPr>
        <w:t>particularités des réseaux d’U</w:t>
      </w:r>
      <w:r>
        <w:rPr>
          <w:rFonts w:cs="Calibri"/>
          <w:b/>
          <w:color w:val="000000"/>
          <w:sz w:val="28"/>
          <w:szCs w:val="28"/>
        </w:rPr>
        <w:t>C</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mbria"/>
          <w:bCs/>
        </w:rPr>
      </w:pPr>
      <w:r w:rsidRPr="000D3F70">
        <w:rPr>
          <w:rFonts w:cs="Cambria"/>
          <w:bCs/>
        </w:rPr>
        <w:t xml:space="preserve">Lorsqu’elles sont organisées en réseau, les unités commerciales sont pilotées de façon plus ou mois directive appelée : </w:t>
      </w:r>
      <w:r w:rsidRPr="000D3F70">
        <w:rPr>
          <w:rFonts w:cs="Cambria"/>
          <w:b/>
          <w:bCs/>
        </w:rPr>
        <w:t>tête de réseau</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 xml:space="preserve">a)Les types de types d’unités </w:t>
      </w:r>
      <w:r>
        <w:rPr>
          <w:rFonts w:cs="Calibri"/>
          <w:b/>
          <w:color w:val="000000"/>
          <w:sz w:val="28"/>
          <w:szCs w:val="28"/>
        </w:rPr>
        <w:t>marchandes</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 xml:space="preserve">Les réseaux intégrés </w:t>
      </w:r>
    </w:p>
    <w:p w:rsidR="008A76B3" w:rsidRPr="000D3F70" w:rsidRDefault="008A76B3" w:rsidP="008A76B3">
      <w:pPr>
        <w:pStyle w:val="Paragraphedeliste"/>
        <w:autoSpaceDE w:val="0"/>
        <w:autoSpaceDN w:val="0"/>
        <w:adjustRightInd w:val="0"/>
        <w:rPr>
          <w:rFonts w:cs="Calibri"/>
          <w:b/>
          <w:color w:val="000000"/>
        </w:rPr>
      </w:pPr>
      <w:r w:rsidRPr="000D3F70">
        <w:t>Les réseaux intégrés sont constitués de plusieurs unités commerciales appartenant à un même groupe. Elles sont donc liées par un lien capitalistique entre elles ou avec la maison-mère. Dans ce cas, la maison-mère du groupe a un rôle majeur dans l’organisation du réseau en définissant des procédures et des règles de fonctionnement communes aux différentes UC afin que l’ensemble forme un tout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associés les groupements d’achats</w:t>
      </w:r>
    </w:p>
    <w:p w:rsidR="008A76B3" w:rsidRPr="000D3F70" w:rsidRDefault="008A76B3" w:rsidP="008A76B3">
      <w:pPr>
        <w:autoSpaceDE w:val="0"/>
        <w:autoSpaceDN w:val="0"/>
        <w:adjustRightInd w:val="0"/>
        <w:rPr>
          <w:rFonts w:cs="Calibri"/>
          <w:b/>
          <w:color w:val="000000"/>
        </w:rPr>
      </w:pPr>
      <w:r w:rsidRPr="000D3F70">
        <w:br/>
        <w:t>Les réseaux associés sont constitués d’unités commerciales indépendantes juridiquement. Deux types de réseaux peuvent être distingués au sein des réseaux associés :</w:t>
      </w:r>
      <w:r w:rsidRPr="000D3F70">
        <w:br/>
        <w:t>– Les groupements d’achats : les UC sont regroupées sous une seule et même enseigne qui met à leur disposition toute sa</w:t>
      </w:r>
      <w:r w:rsidRPr="000D3F70">
        <w:br/>
        <w:t>force logistique, commerciale, financière, etc.</w:t>
      </w:r>
      <w:r w:rsidRPr="000D3F70">
        <w:br/>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contractuels</w:t>
      </w:r>
    </w:p>
    <w:p w:rsidR="008A76B3" w:rsidRPr="000D3F70" w:rsidRDefault="008A76B3" w:rsidP="008A76B3">
      <w:pPr>
        <w:pStyle w:val="NormalWeb"/>
        <w:rPr>
          <w:rFonts w:asciiTheme="minorHAnsi" w:hAnsiTheme="minorHAnsi"/>
        </w:rPr>
      </w:pPr>
      <w:r w:rsidRPr="000D3F70">
        <w:rPr>
          <w:rFonts w:asciiTheme="minorHAnsi" w:hAnsiTheme="minorHAnsi"/>
        </w:rPr>
        <w:t>– Les réseaux contractuels : les UC sont regroupées autour d’une UC centrale dans le cadre d’un contrat. C’est le cas notamment des franchises, l’UC centrale étant le franchiseur et les UC étant les franchisés.</w:t>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mixtes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certains réseaux intégrés, des magasins sont détenus en propres, d’autres sont reliés au réseau par un contrat de franchise par exemple</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C) L’incidence de l’organisation en réseau</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L a tête de réseau peut se substituer à l’U</w:t>
      </w:r>
      <w:r>
        <w:rPr>
          <w:rFonts w:cs="Calibri"/>
          <w:b/>
          <w:color w:val="000000"/>
          <w:sz w:val="28"/>
          <w:szCs w:val="28"/>
        </w:rPr>
        <w:t>C</w:t>
      </w:r>
      <w:r w:rsidRPr="000D3F70">
        <w:rPr>
          <w:rFonts w:cs="Calibri"/>
          <w:b/>
          <w:color w:val="000000"/>
          <w:sz w:val="28"/>
          <w:szCs w:val="28"/>
        </w:rPr>
        <w:t>, dans les tâches suivantes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de l’approvisionnement de l’UC (centralisation des achats, référencement des fournisseurs et des produits)</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d’approvisionnement et de stockage</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Réalisation de campagne de publicité et de promotion</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Financement de l’UC</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Formation aux méthodes de ventes et gestion</w:t>
      </w:r>
    </w:p>
    <w:p w:rsidR="008A76B3" w:rsidRPr="000D3F70" w:rsidRDefault="008A76B3" w:rsidP="008A76B3">
      <w:pPr>
        <w:pStyle w:val="Paragraphedeliste"/>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 cas l’autonomie de l’UC est alors réduite, ses partenaires moins nombreux. En contrepartie, elle est soumise à des devoirs à l’égard du réseau :</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Paiement des droits d’entrée ou de redevance</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Respect des méthodes de vente et des normes de gestion +reporting</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Obligation de s’’approvisionner auprès des fournisseurs désignés</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Agencement normalisé et composition imposée de l’assortiment du magasin, etc..</w:t>
      </w:r>
    </w:p>
    <w:p w:rsidR="008A76B3" w:rsidRPr="000D3F70" w:rsidRDefault="008A76B3" w:rsidP="008A76B3">
      <w:pPr>
        <w:autoSpaceDE w:val="0"/>
        <w:autoSpaceDN w:val="0"/>
        <w:adjustRightInd w:val="0"/>
        <w:jc w:val="center"/>
        <w:rPr>
          <w:rFonts w:cs="Calibri"/>
          <w:b/>
          <w:sz w:val="44"/>
          <w:szCs w:val="28"/>
        </w:rPr>
      </w:pPr>
      <w:r>
        <w:rPr>
          <w:b/>
          <w:sz w:val="44"/>
          <w:szCs w:val="28"/>
          <w:u w:val="single"/>
        </w:rPr>
        <w:t>T</w:t>
      </w:r>
      <w:r w:rsidRPr="000D3F70">
        <w:rPr>
          <w:b/>
          <w:sz w:val="44"/>
          <w:szCs w:val="28"/>
          <w:u w:val="single"/>
        </w:rPr>
        <w:t xml:space="preserve">itre II : La Gestion courante de l’Unité </w:t>
      </w:r>
      <w:r>
        <w:rPr>
          <w:b/>
          <w:sz w:val="44"/>
          <w:szCs w:val="28"/>
          <w:u w:val="single"/>
        </w:rPr>
        <w:t>Commerciale</w:t>
      </w: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overflowPunct w:val="0"/>
        <w:autoSpaceDE w:val="0"/>
        <w:autoSpaceDN w:val="0"/>
        <w:adjustRightInd w:val="0"/>
        <w:jc w:val="both"/>
        <w:textAlignment w:val="baseline"/>
        <w:rPr>
          <w:b/>
          <w:sz w:val="28"/>
          <w:szCs w:val="28"/>
        </w:rPr>
      </w:pP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L’activité de l’UC avec ses partenaires se traduit par des flux économiques.</w:t>
      </w: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 xml:space="preserve">On appelle </w:t>
      </w:r>
      <w:r w:rsidRPr="000D3F70">
        <w:rPr>
          <w:b/>
          <w:sz w:val="28"/>
          <w:szCs w:val="28"/>
          <w:u w:val="single"/>
        </w:rPr>
        <w:t xml:space="preserve">flux économique </w:t>
      </w:r>
      <w:r w:rsidRPr="000D3F70">
        <w:rPr>
          <w:sz w:val="28"/>
          <w:szCs w:val="28"/>
        </w:rPr>
        <w:t>des</w:t>
      </w:r>
      <w:r w:rsidRPr="000D3F70">
        <w:rPr>
          <w:b/>
          <w:sz w:val="28"/>
          <w:szCs w:val="28"/>
          <w:u w:val="single"/>
        </w:rPr>
        <w:t xml:space="preserve"> </w:t>
      </w:r>
      <w:r w:rsidRPr="000D3F70">
        <w:rPr>
          <w:sz w:val="28"/>
          <w:szCs w:val="28"/>
        </w:rPr>
        <w:t>déplacements d’information, de biens, de services, de moyen</w:t>
      </w:r>
      <w:r>
        <w:rPr>
          <w:sz w:val="28"/>
          <w:szCs w:val="28"/>
        </w:rPr>
        <w:t>s de paiement entre l’UM</w:t>
      </w:r>
      <w:r w:rsidRPr="000D3F70">
        <w:rPr>
          <w:sz w:val="28"/>
          <w:szCs w:val="28"/>
        </w:rPr>
        <w:t xml:space="preserve"> et ses partenaires  (flux externe) a</w:t>
      </w:r>
      <w:r>
        <w:rPr>
          <w:sz w:val="28"/>
          <w:szCs w:val="28"/>
        </w:rPr>
        <w:t>insi qu’au sein même de l’UM</w:t>
      </w:r>
      <w:r w:rsidRPr="000D3F70">
        <w:rPr>
          <w:sz w:val="28"/>
          <w:szCs w:val="28"/>
        </w:rPr>
        <w:t xml:space="preserve"> (flux interne.)</w:t>
      </w:r>
    </w:p>
    <w:p w:rsidR="008A76B3" w:rsidRPr="000D3F70" w:rsidRDefault="008A76B3" w:rsidP="008A76B3">
      <w:pPr>
        <w:overflowPunct w:val="0"/>
        <w:autoSpaceDE w:val="0"/>
        <w:autoSpaceDN w:val="0"/>
        <w:adjustRightInd w:val="0"/>
        <w:ind w:left="786"/>
        <w:textAlignment w:val="baseline"/>
        <w:rPr>
          <w:sz w:val="28"/>
          <w:szCs w:val="28"/>
        </w:rPr>
      </w:pP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numPr>
          <w:ilvl w:val="0"/>
          <w:numId w:val="6"/>
        </w:numPr>
        <w:overflowPunct w:val="0"/>
        <w:autoSpaceDE w:val="0"/>
        <w:autoSpaceDN w:val="0"/>
        <w:adjustRightInd w:val="0"/>
        <w:textAlignment w:val="baseline"/>
        <w:rPr>
          <w:b/>
          <w:sz w:val="28"/>
          <w:szCs w:val="28"/>
          <w:u w:val="single"/>
        </w:rPr>
      </w:pPr>
      <w:r w:rsidRPr="000D3F70">
        <w:rPr>
          <w:b/>
          <w:sz w:val="32"/>
          <w:szCs w:val="28"/>
        </w:rPr>
        <w:t xml:space="preserve">Chapitre A/ </w:t>
      </w:r>
      <w:r w:rsidRPr="000D3F70">
        <w:rPr>
          <w:b/>
          <w:sz w:val="28"/>
          <w:szCs w:val="28"/>
          <w:u w:val="single"/>
        </w:rPr>
        <w:t>Les Flux Eco</w:t>
      </w:r>
      <w:r>
        <w:rPr>
          <w:b/>
          <w:sz w:val="28"/>
          <w:szCs w:val="28"/>
          <w:u w:val="single"/>
        </w:rPr>
        <w:t>nomiques dans le cadre de l’U.C</w:t>
      </w:r>
    </w:p>
    <w:p w:rsidR="008A76B3" w:rsidRPr="000D3F70" w:rsidRDefault="008A76B3" w:rsidP="008A76B3">
      <w:pPr>
        <w:pStyle w:val="NormalWeb"/>
        <w:numPr>
          <w:ilvl w:val="0"/>
          <w:numId w:val="15"/>
        </w:numPr>
        <w:rPr>
          <w:rStyle w:val="lev"/>
          <w:rFonts w:asciiTheme="minorHAnsi" w:hAnsiTheme="minorHAnsi"/>
          <w:sz w:val="28"/>
          <w:szCs w:val="28"/>
          <w:u w:val="single"/>
        </w:rPr>
      </w:pPr>
      <w:r w:rsidRPr="000D3F70">
        <w:rPr>
          <w:rStyle w:val="lev"/>
          <w:rFonts w:asciiTheme="minorHAnsi" w:hAnsiTheme="minorHAnsi"/>
          <w:sz w:val="28"/>
          <w:szCs w:val="28"/>
          <w:u w:val="single"/>
        </w:rPr>
        <w:t>/ Les types de flux économiques</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Deux types de flux économiques peuvent être distingués au niveau d’une UC :</w:t>
      </w:r>
    </w:p>
    <w:p w:rsidR="008A76B3" w:rsidRPr="008A76B3" w:rsidRDefault="008A76B3" w:rsidP="008A76B3">
      <w:pPr>
        <w:pStyle w:val="NormalWeb"/>
        <w:ind w:left="720"/>
        <w:rPr>
          <w:rFonts w:asciiTheme="minorHAnsi" w:hAnsiTheme="minorHAnsi"/>
          <w:sz w:val="28"/>
          <w:szCs w:val="28"/>
        </w:rPr>
      </w:pPr>
      <w:r w:rsidRPr="00834859">
        <w:rPr>
          <w:rFonts w:asciiTheme="minorHAnsi" w:hAnsiTheme="minorHAnsi"/>
          <w:sz w:val="36"/>
          <w:szCs w:val="36"/>
        </w:rPr>
        <w:t xml:space="preserve">– </w:t>
      </w:r>
      <w:r w:rsidRPr="008A76B3">
        <w:rPr>
          <w:rFonts w:asciiTheme="minorHAnsi" w:hAnsiTheme="minorHAnsi"/>
          <w:sz w:val="28"/>
          <w:szCs w:val="28"/>
          <w:u w:val="single"/>
        </w:rPr>
        <w:t>Les flux réels ou physiques</w:t>
      </w:r>
      <w:r w:rsidRPr="008A76B3">
        <w:rPr>
          <w:rFonts w:asciiTheme="minorHAnsi" w:hAnsiTheme="minorHAnsi"/>
          <w:sz w:val="28"/>
          <w:szCs w:val="28"/>
        </w:rPr>
        <w:t xml:space="preserve"> : qui correspondent à des ventes ou des achats de biens ou de services.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 xml:space="preserve">– </w:t>
      </w:r>
      <w:r w:rsidRPr="008A76B3">
        <w:rPr>
          <w:rFonts w:asciiTheme="minorHAnsi" w:hAnsiTheme="minorHAnsi"/>
          <w:sz w:val="28"/>
          <w:szCs w:val="28"/>
          <w:u w:val="single"/>
        </w:rPr>
        <w:t>Les flux monétaires ou financiers</w:t>
      </w:r>
      <w:r w:rsidRPr="008A76B3">
        <w:rPr>
          <w:rFonts w:asciiTheme="minorHAnsi" w:hAnsiTheme="minorHAnsi"/>
          <w:sz w:val="28"/>
          <w:szCs w:val="28"/>
        </w:rPr>
        <w:t xml:space="preserve"> : qui représentent la contrepartie monétaire des flux réels.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u w:val="single"/>
        </w:rPr>
        <w:t>Exemple</w:t>
      </w:r>
      <w:r w:rsidRPr="000D3F70">
        <w:rPr>
          <w:rFonts w:asciiTheme="minorHAnsi" w:hAnsiTheme="minorHAnsi"/>
          <w:sz w:val="28"/>
          <w:szCs w:val="28"/>
        </w:rPr>
        <w:t xml:space="preserve"> : </w:t>
      </w:r>
      <w:r w:rsidRPr="000D3F70">
        <w:rPr>
          <w:rFonts w:asciiTheme="minorHAnsi" w:hAnsiTheme="minorHAnsi"/>
          <w:i/>
          <w:sz w:val="28"/>
          <w:szCs w:val="28"/>
        </w:rPr>
        <w:t>la vente de marchandise à un client est un flux réel</w:t>
      </w:r>
      <w:r w:rsidRPr="000D3F70">
        <w:rPr>
          <w:rFonts w:asciiTheme="minorHAnsi" w:hAnsiTheme="minorHAnsi"/>
          <w:sz w:val="28"/>
          <w:szCs w:val="28"/>
        </w:rPr>
        <w:t xml:space="preserve"> </w:t>
      </w:r>
      <w:r w:rsidRPr="000D3F70">
        <w:rPr>
          <w:rFonts w:asciiTheme="minorHAnsi" w:hAnsiTheme="minorHAnsi"/>
          <w:i/>
          <w:sz w:val="28"/>
          <w:szCs w:val="28"/>
        </w:rPr>
        <w:t xml:space="preserve">(sortie de marchandise) et  un flux monétaire (encaissement de la vente). </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rPr>
        <w:t>Les flux monétaires peuvent être envisagés du point de vue client et du point de vue fournisseur.</w:t>
      </w:r>
    </w:p>
    <w:p w:rsidR="008A76B3" w:rsidRPr="000D3F70" w:rsidRDefault="008A76B3" w:rsidP="008A76B3">
      <w:pPr>
        <w:pStyle w:val="NormalWeb"/>
        <w:ind w:left="1494"/>
        <w:rPr>
          <w:rFonts w:asciiTheme="minorHAnsi" w:hAnsiTheme="minorHAnsi"/>
          <w:b/>
          <w:sz w:val="28"/>
          <w:szCs w:val="28"/>
          <w:u w:val="single"/>
        </w:rPr>
      </w:pPr>
      <w:r>
        <w:rPr>
          <w:rFonts w:asciiTheme="minorHAnsi" w:hAnsiTheme="minorHAnsi"/>
          <w:b/>
          <w:sz w:val="28"/>
          <w:szCs w:val="28"/>
          <w:u w:val="single"/>
        </w:rPr>
        <w:t>2</w:t>
      </w:r>
      <w:r w:rsidRPr="000D3F70">
        <w:rPr>
          <w:rFonts w:asciiTheme="minorHAnsi" w:hAnsiTheme="minorHAnsi"/>
          <w:b/>
          <w:sz w:val="28"/>
          <w:szCs w:val="28"/>
          <w:u w:val="single"/>
        </w:rPr>
        <w:t>/Les modalités de paiement</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Les flux monétaires relatifs à une même opération peuvent être réalisés :</w:t>
      </w:r>
    </w:p>
    <w:p w:rsidR="008A76B3" w:rsidRPr="000D3F70"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Au comptant</w:t>
      </w:r>
      <w:r w:rsidRPr="000D3F70">
        <w:rPr>
          <w:rFonts w:asciiTheme="minorHAnsi" w:hAnsiTheme="minorHAnsi"/>
          <w:sz w:val="28"/>
          <w:szCs w:val="28"/>
        </w:rPr>
        <w:t> : le flux financier se réalise en même temps que le  flux monétaire</w:t>
      </w:r>
    </w:p>
    <w:p w:rsidR="008A76B3"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 crédit</w:t>
      </w:r>
      <w:r w:rsidRPr="000D3F70">
        <w:rPr>
          <w:rFonts w:asciiTheme="minorHAnsi" w:hAnsiTheme="minorHAnsi"/>
          <w:sz w:val="28"/>
          <w:szCs w:val="28"/>
        </w:rPr>
        <w:t> : les flux financiers sont décalés dans le temps par rapport  au flux réel</w:t>
      </w:r>
    </w:p>
    <w:p w:rsidR="003470DE" w:rsidRPr="000D3F70" w:rsidRDefault="003470DE" w:rsidP="000E4C49">
      <w:pPr>
        <w:pStyle w:val="NormalWeb"/>
        <w:numPr>
          <w:ilvl w:val="0"/>
          <w:numId w:val="32"/>
        </w:numPr>
        <w:rPr>
          <w:rFonts w:asciiTheme="minorHAnsi" w:hAnsiTheme="minorHAnsi"/>
          <w:b/>
          <w:sz w:val="28"/>
          <w:szCs w:val="28"/>
          <w:u w:val="single"/>
        </w:rPr>
      </w:pPr>
      <w:r w:rsidRPr="000D3F70">
        <w:rPr>
          <w:rFonts w:asciiTheme="minorHAnsi" w:hAnsiTheme="minorHAnsi"/>
          <w:b/>
          <w:sz w:val="28"/>
          <w:szCs w:val="28"/>
          <w:u w:val="single"/>
        </w:rPr>
        <w:t>La trésorerie</w:t>
      </w:r>
    </w:p>
    <w:p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Elle est le résultat des flux monétaires (encaissements/décaissements) d’une période. La trésorerie de l’unité commerciale est l’ensemble des sommes disponibles sur ses comptes courants bancaires ou postaux.</w:t>
      </w:r>
    </w:p>
    <w:p w:rsidR="003470DE" w:rsidRPr="000D3F70" w:rsidRDefault="003470DE" w:rsidP="003470DE">
      <w:pPr>
        <w:pStyle w:val="NormalWeb"/>
        <w:rPr>
          <w:rFonts w:asciiTheme="minorHAnsi" w:hAnsiTheme="minorHAnsi"/>
          <w:sz w:val="28"/>
          <w:szCs w:val="28"/>
        </w:rPr>
      </w:pPr>
      <w:r w:rsidRPr="000D3F70">
        <w:rPr>
          <w:rFonts w:asciiTheme="minorHAnsi" w:hAnsiTheme="minorHAnsi"/>
          <w:b/>
          <w:sz w:val="28"/>
          <w:szCs w:val="28"/>
          <w:u w:val="single"/>
        </w:rPr>
        <w:t>Trésorerie à une date donnée (solde</w:t>
      </w:r>
      <w:r w:rsidRPr="000D3F70">
        <w:rPr>
          <w:rFonts w:asciiTheme="minorHAnsi" w:hAnsiTheme="minorHAnsi"/>
          <w:sz w:val="28"/>
          <w:szCs w:val="28"/>
        </w:rPr>
        <w:t>)  =</w:t>
      </w:r>
    </w:p>
    <w:p w:rsidR="003470DE" w:rsidRPr="000D3F70" w:rsidRDefault="003470DE" w:rsidP="003470DE">
      <w:pPr>
        <w:pStyle w:val="NormalWeb"/>
        <w:rPr>
          <w:rFonts w:asciiTheme="minorHAnsi" w:hAnsiTheme="minorHAnsi"/>
          <w:sz w:val="26"/>
          <w:szCs w:val="26"/>
        </w:rPr>
      </w:pPr>
      <w:r w:rsidRPr="000D3F70">
        <w:rPr>
          <w:rFonts w:asciiTheme="minorHAnsi" w:hAnsiTheme="minorHAnsi"/>
          <w:sz w:val="26"/>
          <w:szCs w:val="26"/>
        </w:rPr>
        <w:t>Trésorerie début de période + Encaissements de la période -  Décaissements de la période</w:t>
      </w:r>
    </w:p>
    <w:p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La gestion de trésorerie représente l’une des priorités pour le manager, il a le souci d’en assurer l’équilibre. La situation de trésorerie négative ne peut se concevoir que de façon ponctuelle, faute de quoi les engagements financiers ne peuvent être honorés et la continuité de l’exploitation est remise en cause.</w:t>
      </w:r>
    </w:p>
    <w:p w:rsidR="003470DE" w:rsidRPr="00FE127A" w:rsidRDefault="003470DE" w:rsidP="000E4C49">
      <w:pPr>
        <w:pStyle w:val="NormalWeb"/>
        <w:numPr>
          <w:ilvl w:val="0"/>
          <w:numId w:val="32"/>
        </w:numPr>
        <w:rPr>
          <w:rFonts w:asciiTheme="minorHAnsi" w:hAnsiTheme="minorHAnsi"/>
          <w:sz w:val="36"/>
          <w:szCs w:val="36"/>
        </w:rPr>
      </w:pPr>
      <w:r w:rsidRPr="00FE127A">
        <w:rPr>
          <w:rFonts w:asciiTheme="minorHAnsi" w:hAnsiTheme="minorHAnsi"/>
          <w:b/>
          <w:sz w:val="36"/>
          <w:szCs w:val="36"/>
          <w:u w:val="single"/>
        </w:rPr>
        <w:t xml:space="preserve">Le classement des opérations de l’unité </w:t>
      </w:r>
      <w:r w:rsidR="00542957">
        <w:rPr>
          <w:rFonts w:asciiTheme="minorHAnsi" w:hAnsiTheme="minorHAnsi"/>
          <w:b/>
          <w:sz w:val="36"/>
          <w:szCs w:val="36"/>
          <w:u w:val="single"/>
        </w:rPr>
        <w:t>commerciale</w:t>
      </w:r>
      <w:r w:rsidRPr="00FE127A">
        <w:rPr>
          <w:rFonts w:asciiTheme="minorHAnsi" w:hAnsiTheme="minorHAnsi"/>
          <w:sz w:val="36"/>
          <w:szCs w:val="36"/>
          <w:u w:val="single"/>
        </w:rPr>
        <w:br/>
      </w:r>
    </w:p>
    <w:p w:rsidR="003470DE" w:rsidRPr="00AD513A" w:rsidRDefault="003470DE" w:rsidP="003470DE">
      <w:pPr>
        <w:pStyle w:val="NormalWeb"/>
        <w:rPr>
          <w:rFonts w:asciiTheme="minorHAnsi" w:hAnsiTheme="minorHAnsi"/>
          <w:sz w:val="28"/>
          <w:szCs w:val="28"/>
        </w:rPr>
      </w:pPr>
      <w:r w:rsidRPr="00AD513A">
        <w:rPr>
          <w:rFonts w:asciiTheme="minorHAnsi" w:hAnsiTheme="minorHAnsi"/>
          <w:sz w:val="28"/>
          <w:szCs w:val="28"/>
        </w:rPr>
        <w:t>On distingue 3 types d’opération :</w:t>
      </w:r>
    </w:p>
    <w:p w:rsidR="003470DE" w:rsidRPr="00AD513A" w:rsidRDefault="003470DE" w:rsidP="003470DE">
      <w:pPr>
        <w:pStyle w:val="NormalWeb"/>
        <w:numPr>
          <w:ilvl w:val="0"/>
          <w:numId w:val="18"/>
        </w:numPr>
        <w:rPr>
          <w:rFonts w:asciiTheme="minorHAnsi" w:hAnsiTheme="minorHAnsi"/>
          <w:b/>
          <w:sz w:val="28"/>
          <w:szCs w:val="28"/>
        </w:rPr>
      </w:pPr>
      <w:r w:rsidRPr="00AD513A">
        <w:rPr>
          <w:rFonts w:asciiTheme="minorHAnsi" w:hAnsiTheme="minorHAnsi"/>
          <w:b/>
          <w:sz w:val="28"/>
          <w:szCs w:val="28"/>
        </w:rPr>
        <w:t>Les opérations d’exploitation</w:t>
      </w:r>
    </w:p>
    <w:p w:rsidR="003470DE" w:rsidRPr="00AD513A" w:rsidRDefault="003470DE" w:rsidP="003470DE">
      <w:pPr>
        <w:overflowPunct w:val="0"/>
        <w:autoSpaceDE w:val="0"/>
        <w:autoSpaceDN w:val="0"/>
        <w:adjustRightInd w:val="0"/>
        <w:textAlignment w:val="baseline"/>
        <w:rPr>
          <w:sz w:val="28"/>
          <w:szCs w:val="28"/>
        </w:rPr>
      </w:pPr>
      <w:r w:rsidRPr="00AD513A">
        <w:rPr>
          <w:sz w:val="28"/>
          <w:szCs w:val="28"/>
        </w:rPr>
        <w:t>Elles constituent les activités courantes de l’UC</w:t>
      </w:r>
    </w:p>
    <w:p w:rsidR="003470DE" w:rsidRPr="00AD513A" w:rsidRDefault="003470DE" w:rsidP="003470DE">
      <w:pPr>
        <w:overflowPunct w:val="0"/>
        <w:autoSpaceDE w:val="0"/>
        <w:autoSpaceDN w:val="0"/>
        <w:adjustRightInd w:val="0"/>
        <w:textAlignment w:val="baseline"/>
        <w:rPr>
          <w:sz w:val="28"/>
          <w:szCs w:val="28"/>
        </w:rPr>
      </w:pPr>
    </w:p>
    <w:p w:rsidR="003470DE" w:rsidRPr="00AD513A" w:rsidRDefault="003470DE" w:rsidP="003470DE">
      <w:pPr>
        <w:pStyle w:val="Paragraphedeliste"/>
        <w:numPr>
          <w:ilvl w:val="0"/>
          <w:numId w:val="20"/>
        </w:numPr>
        <w:overflowPunct w:val="0"/>
        <w:autoSpaceDE w:val="0"/>
        <w:autoSpaceDN w:val="0"/>
        <w:adjustRightInd w:val="0"/>
        <w:textAlignment w:val="baseline"/>
        <w:rPr>
          <w:sz w:val="28"/>
          <w:szCs w:val="28"/>
        </w:rPr>
      </w:pPr>
      <w:r w:rsidRPr="00AD513A">
        <w:rPr>
          <w:sz w:val="28"/>
          <w:szCs w:val="28"/>
        </w:rPr>
        <w:t>achats de biens et services</w:t>
      </w:r>
    </w:p>
    <w:p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r w:rsidRPr="00AD513A">
        <w:rPr>
          <w:sz w:val="28"/>
          <w:szCs w:val="28"/>
        </w:rPr>
        <w:t>ventes de biens et/ou services</w:t>
      </w:r>
    </w:p>
    <w:p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r w:rsidRPr="00AD513A">
        <w:rPr>
          <w:sz w:val="28"/>
          <w:szCs w:val="28"/>
        </w:rPr>
        <w:t>rémunération de salariés</w:t>
      </w:r>
    </w:p>
    <w:p w:rsidR="003470DE" w:rsidRPr="00AD513A" w:rsidRDefault="003470DE" w:rsidP="003470DE">
      <w:pPr>
        <w:pStyle w:val="Paragraphedeliste"/>
        <w:numPr>
          <w:ilvl w:val="0"/>
          <w:numId w:val="19"/>
        </w:numPr>
        <w:overflowPunct w:val="0"/>
        <w:autoSpaceDE w:val="0"/>
        <w:autoSpaceDN w:val="0"/>
        <w:adjustRightInd w:val="0"/>
        <w:textAlignment w:val="baseline"/>
        <w:rPr>
          <w:b/>
          <w:sz w:val="28"/>
          <w:szCs w:val="28"/>
        </w:rPr>
      </w:pPr>
      <w:r w:rsidRPr="00AD513A">
        <w:rPr>
          <w:sz w:val="28"/>
          <w:szCs w:val="28"/>
        </w:rPr>
        <w:t>paiements des organismes  sociaux , de la TVA à l’état</w:t>
      </w:r>
    </w:p>
    <w:p w:rsidR="003470DE" w:rsidRPr="00AD513A" w:rsidRDefault="003470DE" w:rsidP="003470DE">
      <w:pPr>
        <w:overflowPunct w:val="0"/>
        <w:autoSpaceDE w:val="0"/>
        <w:autoSpaceDN w:val="0"/>
        <w:adjustRightInd w:val="0"/>
        <w:textAlignment w:val="baseline"/>
        <w:rPr>
          <w:b/>
          <w:sz w:val="28"/>
          <w:szCs w:val="28"/>
        </w:rPr>
      </w:pPr>
    </w:p>
    <w:p w:rsidR="003470DE" w:rsidRPr="00AD513A" w:rsidRDefault="003470DE" w:rsidP="003470DE">
      <w:pPr>
        <w:overflowPunct w:val="0"/>
        <w:autoSpaceDE w:val="0"/>
        <w:autoSpaceDN w:val="0"/>
        <w:adjustRightInd w:val="0"/>
        <w:textAlignment w:val="baseline"/>
        <w:rPr>
          <w:b/>
          <w:sz w:val="28"/>
          <w:szCs w:val="28"/>
        </w:rPr>
      </w:pPr>
    </w:p>
    <w:p w:rsidR="003470DE" w:rsidRPr="00AD513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28"/>
          <w:szCs w:val="28"/>
        </w:rPr>
      </w:pPr>
      <w:r w:rsidRPr="00AD513A">
        <w:rPr>
          <w:rFonts w:asciiTheme="minorHAnsi" w:hAnsiTheme="minorHAnsi"/>
          <w:b/>
          <w:sz w:val="28"/>
          <w:szCs w:val="28"/>
        </w:rPr>
        <w:t>Les opérations d’investissement</w:t>
      </w:r>
    </w:p>
    <w:p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Elles consistent en l’acquisition de moyens durables indispensables à l’activité commerciale et au développement de l’unité.</w:t>
      </w:r>
    </w:p>
    <w:p w:rsidR="003470DE" w:rsidRPr="00AD513A" w:rsidRDefault="003470DE" w:rsidP="003470DE">
      <w:pPr>
        <w:pStyle w:val="Paragraphedeliste"/>
        <w:numPr>
          <w:ilvl w:val="0"/>
          <w:numId w:val="20"/>
        </w:numPr>
        <w:overflowPunct w:val="0"/>
        <w:autoSpaceDE w:val="0"/>
        <w:autoSpaceDN w:val="0"/>
        <w:adjustRightInd w:val="0"/>
        <w:textAlignment w:val="baseline"/>
        <w:rPr>
          <w:sz w:val="28"/>
          <w:szCs w:val="28"/>
        </w:rPr>
      </w:pPr>
      <w:r w:rsidRPr="00AD513A">
        <w:rPr>
          <w:sz w:val="28"/>
          <w:szCs w:val="28"/>
        </w:rPr>
        <w:t xml:space="preserve">acquisition de terrains </w:t>
      </w:r>
    </w:p>
    <w:p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r w:rsidRPr="00AD513A">
        <w:rPr>
          <w:sz w:val="28"/>
          <w:szCs w:val="28"/>
        </w:rPr>
        <w:t>construction ou acquisition de bâtiment</w:t>
      </w:r>
    </w:p>
    <w:p w:rsidR="003470DE" w:rsidRPr="00AD513A" w:rsidRDefault="003470DE" w:rsidP="003470DE">
      <w:pPr>
        <w:pStyle w:val="Paragraphedeliste"/>
        <w:numPr>
          <w:ilvl w:val="0"/>
          <w:numId w:val="19"/>
        </w:numPr>
        <w:overflowPunct w:val="0"/>
        <w:autoSpaceDE w:val="0"/>
        <w:autoSpaceDN w:val="0"/>
        <w:adjustRightInd w:val="0"/>
        <w:textAlignment w:val="baseline"/>
        <w:rPr>
          <w:sz w:val="28"/>
          <w:szCs w:val="28"/>
        </w:rPr>
      </w:pPr>
      <w:r w:rsidRPr="00AD513A">
        <w:rPr>
          <w:sz w:val="28"/>
          <w:szCs w:val="28"/>
        </w:rPr>
        <w:t>achats d’équipements de matériel, informatique ou mobilier</w:t>
      </w:r>
    </w:p>
    <w:p w:rsidR="003470DE" w:rsidRPr="00FE127A" w:rsidRDefault="003470DE" w:rsidP="003470DE">
      <w:pPr>
        <w:overflowPunct w:val="0"/>
        <w:autoSpaceDE w:val="0"/>
        <w:autoSpaceDN w:val="0"/>
        <w:adjustRightInd w:val="0"/>
        <w:textAlignment w:val="baseline"/>
        <w:rPr>
          <w:b/>
          <w:sz w:val="36"/>
          <w:szCs w:val="36"/>
        </w:rPr>
      </w:pPr>
    </w:p>
    <w:p w:rsidR="003470DE" w:rsidRPr="00AD513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28"/>
          <w:szCs w:val="28"/>
        </w:rPr>
      </w:pPr>
      <w:r w:rsidRPr="00AD513A">
        <w:rPr>
          <w:rFonts w:asciiTheme="minorHAnsi" w:hAnsiTheme="minorHAnsi"/>
          <w:b/>
          <w:sz w:val="28"/>
          <w:szCs w:val="28"/>
        </w:rPr>
        <w:t>Les opérations de financement</w:t>
      </w:r>
    </w:p>
    <w:p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Elles permettent l’obtention des ressources nécessaires aux opérations d’investissement :</w:t>
      </w:r>
    </w:p>
    <w:p w:rsidR="003470DE" w:rsidRPr="00AD513A" w:rsidRDefault="003470DE" w:rsidP="003470DE">
      <w:pPr>
        <w:pStyle w:val="NormalWeb"/>
        <w:numPr>
          <w:ilvl w:val="0"/>
          <w:numId w:val="21"/>
        </w:numPr>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emprunts bancaires</w:t>
      </w:r>
    </w:p>
    <w:p w:rsidR="003470DE" w:rsidRPr="00AD513A" w:rsidRDefault="003470DE" w:rsidP="003470DE">
      <w:pPr>
        <w:pStyle w:val="NormalWeb"/>
        <w:numPr>
          <w:ilvl w:val="0"/>
          <w:numId w:val="21"/>
        </w:numPr>
        <w:overflowPunct w:val="0"/>
        <w:autoSpaceDE w:val="0"/>
        <w:autoSpaceDN w:val="0"/>
        <w:adjustRightInd w:val="0"/>
        <w:textAlignment w:val="baseline"/>
        <w:rPr>
          <w:rFonts w:asciiTheme="minorHAnsi" w:hAnsiTheme="minorHAnsi"/>
          <w:sz w:val="28"/>
          <w:szCs w:val="28"/>
        </w:rPr>
      </w:pPr>
      <w:r w:rsidRPr="00AD513A">
        <w:rPr>
          <w:rFonts w:asciiTheme="minorHAnsi" w:hAnsiTheme="minorHAnsi"/>
          <w:sz w:val="28"/>
          <w:szCs w:val="28"/>
        </w:rPr>
        <w:t>apports des associés</w:t>
      </w:r>
    </w:p>
    <w:p w:rsidR="003470DE" w:rsidRPr="00AD513A" w:rsidRDefault="003470DE" w:rsidP="003470DE">
      <w:pPr>
        <w:pStyle w:val="NormalWeb"/>
        <w:overflowPunct w:val="0"/>
        <w:autoSpaceDE w:val="0"/>
        <w:autoSpaceDN w:val="0"/>
        <w:adjustRightInd w:val="0"/>
        <w:textAlignment w:val="baseline"/>
        <w:rPr>
          <w:rFonts w:asciiTheme="minorHAnsi" w:hAnsiTheme="minorHAnsi"/>
          <w:sz w:val="28"/>
          <w:szCs w:val="28"/>
        </w:rPr>
      </w:pPr>
    </w:p>
    <w:p w:rsidR="003470DE" w:rsidRPr="00AD513A" w:rsidRDefault="003470DE" w:rsidP="003470DE">
      <w:pPr>
        <w:overflowPunct w:val="0"/>
        <w:autoSpaceDE w:val="0"/>
        <w:autoSpaceDN w:val="0"/>
        <w:adjustRightInd w:val="0"/>
        <w:ind w:left="786"/>
        <w:textAlignment w:val="baseline"/>
        <w:rPr>
          <w:b/>
          <w:sz w:val="28"/>
          <w:szCs w:val="28"/>
          <w:u w:val="single"/>
        </w:rPr>
      </w:pPr>
      <w:r w:rsidRPr="00AD513A">
        <w:rPr>
          <w:b/>
          <w:sz w:val="28"/>
          <w:szCs w:val="28"/>
        </w:rPr>
        <w:t xml:space="preserve">Chapitre B/ </w:t>
      </w:r>
      <w:r w:rsidRPr="00AD513A">
        <w:rPr>
          <w:b/>
          <w:sz w:val="28"/>
          <w:szCs w:val="28"/>
          <w:u w:val="single"/>
        </w:rPr>
        <w:t>Le Cycle d’Exploitation et le Besoin en Fond de Roulement (BFR)</w:t>
      </w:r>
    </w:p>
    <w:p w:rsidR="003470DE" w:rsidRPr="00AD513A" w:rsidRDefault="003470DE" w:rsidP="003470DE">
      <w:pPr>
        <w:overflowPunct w:val="0"/>
        <w:autoSpaceDE w:val="0"/>
        <w:autoSpaceDN w:val="0"/>
        <w:adjustRightInd w:val="0"/>
        <w:textAlignment w:val="baseline"/>
        <w:rPr>
          <w:b/>
          <w:sz w:val="28"/>
          <w:szCs w:val="28"/>
          <w:u w:val="single"/>
        </w:rPr>
      </w:pPr>
    </w:p>
    <w:p w:rsidR="003470DE" w:rsidRPr="00AD513A" w:rsidRDefault="003470DE" w:rsidP="003470DE">
      <w:pPr>
        <w:overflowPunct w:val="0"/>
        <w:autoSpaceDE w:val="0"/>
        <w:autoSpaceDN w:val="0"/>
        <w:adjustRightInd w:val="0"/>
        <w:textAlignment w:val="baseline"/>
        <w:rPr>
          <w:b/>
          <w:sz w:val="28"/>
          <w:szCs w:val="28"/>
          <w:u w:val="single"/>
        </w:rPr>
      </w:pPr>
    </w:p>
    <w:p w:rsidR="003470DE" w:rsidRPr="00AD513A" w:rsidRDefault="003470DE" w:rsidP="003470DE">
      <w:pPr>
        <w:overflowPunct w:val="0"/>
        <w:autoSpaceDE w:val="0"/>
        <w:autoSpaceDN w:val="0"/>
        <w:adjustRightInd w:val="0"/>
        <w:textAlignment w:val="baseline"/>
        <w:rPr>
          <w:sz w:val="28"/>
          <w:szCs w:val="28"/>
        </w:rPr>
      </w:pPr>
      <w:r w:rsidRPr="00AD513A">
        <w:rPr>
          <w:sz w:val="28"/>
          <w:szCs w:val="28"/>
        </w:rPr>
        <w:t>Le cycle d’exploitation comprend les opérations courantes d’exploitation qui interviennent de façon répétitive (cyclique) dans l’UC.</w:t>
      </w:r>
    </w:p>
    <w:p w:rsidR="003470DE" w:rsidRPr="00AD513A" w:rsidRDefault="003470DE" w:rsidP="003470DE">
      <w:pPr>
        <w:overflowPunct w:val="0"/>
        <w:autoSpaceDE w:val="0"/>
        <w:autoSpaceDN w:val="0"/>
        <w:adjustRightInd w:val="0"/>
        <w:textAlignment w:val="baseline"/>
        <w:rPr>
          <w:sz w:val="28"/>
          <w:szCs w:val="28"/>
        </w:rPr>
      </w:pPr>
    </w:p>
    <w:p w:rsidR="003470DE" w:rsidRPr="00AD513A" w:rsidRDefault="003470DE" w:rsidP="003470DE">
      <w:pPr>
        <w:overflowPunct w:val="0"/>
        <w:autoSpaceDE w:val="0"/>
        <w:autoSpaceDN w:val="0"/>
        <w:adjustRightInd w:val="0"/>
        <w:textAlignment w:val="baseline"/>
        <w:rPr>
          <w:b/>
          <w:sz w:val="28"/>
          <w:szCs w:val="28"/>
        </w:rPr>
      </w:pPr>
    </w:p>
    <w:p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1/ Les étapes du  cycle d’exploitation </w:t>
      </w:r>
    </w:p>
    <w:p w:rsidR="003470DE" w:rsidRPr="00AD513A" w:rsidRDefault="003470DE" w:rsidP="003470DE">
      <w:pPr>
        <w:pStyle w:val="Paragraphedeliste"/>
        <w:rPr>
          <w:rFonts w:eastAsia="Times New Roman" w:cs="Times New Roman"/>
          <w:b/>
          <w:sz w:val="28"/>
          <w:szCs w:val="28"/>
          <w:u w:val="single"/>
          <w:lang w:eastAsia="fr-FR"/>
        </w:rPr>
      </w:pPr>
    </w:p>
    <w:p w:rsidR="003470DE" w:rsidRPr="00AD513A" w:rsidRDefault="003470DE" w:rsidP="003470DE">
      <w:pPr>
        <w:rPr>
          <w:rFonts w:eastAsia="Times New Roman" w:cs="Times New Roman"/>
          <w:sz w:val="28"/>
          <w:szCs w:val="28"/>
          <w:lang w:eastAsia="fr-FR"/>
        </w:rPr>
      </w:pPr>
      <w:r w:rsidRPr="00AD513A">
        <w:rPr>
          <w:rFonts w:eastAsia="Times New Roman" w:cs="Times New Roman"/>
          <w:sz w:val="28"/>
          <w:szCs w:val="28"/>
          <w:u w:val="single"/>
          <w:lang w:eastAsia="fr-FR"/>
        </w:rPr>
        <w:t>L’approvisionnement, le stockage, la vente</w:t>
      </w:r>
      <w:r w:rsidRPr="00AD513A">
        <w:rPr>
          <w:rFonts w:eastAsia="Times New Roman" w:cs="Times New Roman"/>
          <w:sz w:val="28"/>
          <w:szCs w:val="28"/>
          <w:lang w:eastAsia="fr-FR"/>
        </w:rPr>
        <w:t xml:space="preserve"> sont les opérations  essentielles du cycle d’exploitation</w:t>
      </w:r>
    </w:p>
    <w:p w:rsidR="003470DE" w:rsidRPr="00AD513A" w:rsidRDefault="003470DE" w:rsidP="003470DE">
      <w:pPr>
        <w:pStyle w:val="Paragraphedeliste"/>
        <w:rPr>
          <w:rFonts w:eastAsia="Times New Roman" w:cs="Times New Roman"/>
          <w:sz w:val="28"/>
          <w:szCs w:val="28"/>
          <w:lang w:eastAsia="fr-FR"/>
        </w:rPr>
      </w:pPr>
    </w:p>
    <w:p w:rsidR="003470DE" w:rsidRPr="00AD513A" w:rsidRDefault="003470DE" w:rsidP="003470DE">
      <w:pPr>
        <w:rPr>
          <w:rFonts w:eastAsia="Times New Roman" w:cs="Times New Roman"/>
          <w:sz w:val="28"/>
          <w:szCs w:val="28"/>
          <w:lang w:eastAsia="fr-FR"/>
        </w:rPr>
      </w:pPr>
      <w:r w:rsidRPr="00AD513A">
        <w:rPr>
          <w:rFonts w:eastAsia="Times New Roman" w:cs="Times New Roman"/>
          <w:sz w:val="28"/>
          <w:szCs w:val="28"/>
          <w:lang w:eastAsia="fr-FR"/>
        </w:rPr>
        <w:t xml:space="preserve">Elles entrainent des </w:t>
      </w:r>
      <w:r w:rsidRPr="00AD513A">
        <w:rPr>
          <w:rFonts w:eastAsia="Times New Roman" w:cs="Times New Roman"/>
          <w:b/>
          <w:sz w:val="28"/>
          <w:szCs w:val="28"/>
          <w:u w:val="single"/>
          <w:lang w:eastAsia="fr-FR"/>
        </w:rPr>
        <w:t>encaissements à</w:t>
      </w:r>
      <w:r w:rsidRPr="00AD513A">
        <w:rPr>
          <w:rFonts w:eastAsia="Times New Roman" w:cs="Times New Roman"/>
          <w:sz w:val="28"/>
          <w:szCs w:val="28"/>
          <w:lang w:eastAsia="fr-FR"/>
        </w:rPr>
        <w:t xml:space="preserve"> partir des ventes au comptant et des règlements des créances par les clients et des </w:t>
      </w:r>
      <w:r w:rsidRPr="00AD513A">
        <w:rPr>
          <w:rFonts w:eastAsia="Times New Roman" w:cs="Times New Roman"/>
          <w:b/>
          <w:sz w:val="28"/>
          <w:szCs w:val="28"/>
          <w:u w:val="single"/>
          <w:lang w:eastAsia="fr-FR"/>
        </w:rPr>
        <w:t>décaissements</w:t>
      </w:r>
      <w:r w:rsidRPr="00AD513A">
        <w:rPr>
          <w:rFonts w:eastAsia="Times New Roman" w:cs="Times New Roman"/>
          <w:sz w:val="28"/>
          <w:szCs w:val="28"/>
          <w:lang w:eastAsia="fr-FR"/>
        </w:rPr>
        <w:t xml:space="preserve"> (paiement des dettes fournisseurs, rémunération des salariés, paiement des charges sociales et toutes les dépenses liées aux opérations d’exploitation).</w:t>
      </w:r>
    </w:p>
    <w:p w:rsidR="003470DE" w:rsidRPr="00AD513A" w:rsidRDefault="003470DE" w:rsidP="003470DE">
      <w:pPr>
        <w:rPr>
          <w:rFonts w:eastAsia="Times New Roman" w:cs="Times New Roman"/>
          <w:sz w:val="28"/>
          <w:szCs w:val="28"/>
          <w:lang w:eastAsia="fr-FR"/>
        </w:rPr>
      </w:pPr>
    </w:p>
    <w:p w:rsidR="003470DE" w:rsidRPr="00AD513A" w:rsidRDefault="003470DE" w:rsidP="003470DE">
      <w:pPr>
        <w:pStyle w:val="Paragraphedeliste"/>
        <w:rPr>
          <w:rFonts w:eastAsia="Times New Roman" w:cs="Times New Roman"/>
          <w:b/>
          <w:sz w:val="28"/>
          <w:szCs w:val="28"/>
          <w:u w:val="single"/>
          <w:lang w:eastAsia="fr-FR"/>
        </w:rPr>
      </w:pPr>
    </w:p>
    <w:p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2/ La durée du cycle d’exploitation </w:t>
      </w:r>
    </w:p>
    <w:p w:rsidR="003470DE" w:rsidRPr="00AD513A" w:rsidRDefault="003470DE" w:rsidP="003470DE">
      <w:pPr>
        <w:pStyle w:val="Paragraphedeliste"/>
        <w:rPr>
          <w:rFonts w:eastAsia="Times New Roman" w:cs="Times New Roman"/>
          <w:b/>
          <w:sz w:val="28"/>
          <w:szCs w:val="28"/>
          <w:u w:val="single"/>
          <w:lang w:eastAsia="fr-FR"/>
        </w:rPr>
      </w:pPr>
    </w:p>
    <w:p w:rsidR="003470DE" w:rsidRPr="00AD513A" w:rsidRDefault="003470DE" w:rsidP="003470DE">
      <w:pPr>
        <w:jc w:val="both"/>
        <w:rPr>
          <w:rFonts w:eastAsia="Times New Roman" w:cs="Times New Roman"/>
          <w:sz w:val="28"/>
          <w:szCs w:val="28"/>
          <w:lang w:eastAsia="fr-FR"/>
        </w:rPr>
      </w:pPr>
      <w:r w:rsidRPr="00AD513A">
        <w:rPr>
          <w:rFonts w:eastAsia="Times New Roman" w:cs="Times New Roman"/>
          <w:sz w:val="28"/>
          <w:szCs w:val="28"/>
          <w:lang w:eastAsia="fr-FR"/>
        </w:rPr>
        <w:t>La durée du cycle d’exploitation est la période qui s’écoule entre l’achat de marchandises, de fournitures ou de services et l’encaissement des recettes qui résultent de la vente de marchandise ou de services.</w:t>
      </w:r>
    </w:p>
    <w:p w:rsidR="003470DE" w:rsidRPr="00AD513A" w:rsidRDefault="003470DE" w:rsidP="003470DE">
      <w:pPr>
        <w:rPr>
          <w:rFonts w:eastAsia="Times New Roman" w:cs="Times New Roman"/>
          <w:b/>
          <w:sz w:val="28"/>
          <w:szCs w:val="28"/>
          <w:u w:val="single"/>
          <w:lang w:eastAsia="fr-FR"/>
        </w:rPr>
      </w:pPr>
    </w:p>
    <w:p w:rsidR="003470DE" w:rsidRPr="00AD513A" w:rsidRDefault="003470DE" w:rsidP="003470DE">
      <w:pPr>
        <w:jc w:val="center"/>
        <w:rPr>
          <w:rFonts w:eastAsia="Times New Roman" w:cs="Times New Roman"/>
          <w:sz w:val="28"/>
          <w:szCs w:val="28"/>
          <w:lang w:eastAsia="fr-FR"/>
        </w:rPr>
      </w:pPr>
    </w:p>
    <w:p w:rsidR="003470DE" w:rsidRPr="00AD513A" w:rsidRDefault="003470DE" w:rsidP="003470DE">
      <w:pPr>
        <w:pStyle w:val="Paragraphedeliste"/>
        <w:rPr>
          <w:rFonts w:eastAsia="Times New Roman" w:cs="Times New Roman"/>
          <w:b/>
          <w:sz w:val="28"/>
          <w:szCs w:val="28"/>
          <w:u w:val="single"/>
          <w:lang w:eastAsia="fr-FR"/>
        </w:rPr>
      </w:pPr>
      <w:r w:rsidRPr="00AD513A">
        <w:rPr>
          <w:rFonts w:eastAsia="Times New Roman" w:cs="Times New Roman"/>
          <w:b/>
          <w:sz w:val="28"/>
          <w:szCs w:val="28"/>
          <w:u w:val="single"/>
          <w:lang w:eastAsia="fr-FR"/>
        </w:rPr>
        <w:t xml:space="preserve">3/ La représentation  du  cycle d’exploitation </w:t>
      </w:r>
    </w:p>
    <w:p w:rsidR="003470DE" w:rsidRPr="00AD513A" w:rsidRDefault="003470DE" w:rsidP="003470DE">
      <w:pPr>
        <w:pStyle w:val="Paragraphedeliste"/>
        <w:rPr>
          <w:rFonts w:eastAsia="Times New Roman" w:cs="Times New Roman"/>
          <w:b/>
          <w:sz w:val="28"/>
          <w:szCs w:val="28"/>
          <w:u w:val="single"/>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4/ L’influence du cycle d’exploitation sur la trésorerie : le besoin en fond de roulement</w:t>
      </w:r>
    </w:p>
    <w:p w:rsidR="00AD513A" w:rsidRDefault="00AD513A" w:rsidP="00AD513A">
      <w:pPr>
        <w:autoSpaceDE w:val="0"/>
        <w:autoSpaceDN w:val="0"/>
        <w:adjustRightInd w:val="0"/>
        <w:rPr>
          <w:rFonts w:cs="HelveticaNeue"/>
          <w:color w:val="000000"/>
          <w:sz w:val="28"/>
          <w:szCs w:val="28"/>
        </w:rPr>
      </w:pPr>
    </w:p>
    <w:p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 xml:space="preserve">Le cycle d’exploitation peut entrainer les besoin de financement ou des ressources de financements. </w:t>
      </w:r>
    </w:p>
    <w:p w:rsidR="00AD513A" w:rsidRPr="00AD513A" w:rsidRDefault="00AD513A" w:rsidP="00AD513A">
      <w:pPr>
        <w:autoSpaceDE w:val="0"/>
        <w:autoSpaceDN w:val="0"/>
        <w:adjustRightInd w:val="0"/>
        <w:rPr>
          <w:rFonts w:cs="Calibri"/>
          <w:sz w:val="28"/>
          <w:szCs w:val="28"/>
        </w:rPr>
      </w:pPr>
    </w:p>
    <w:p w:rsidR="00AD513A" w:rsidRPr="00AD513A" w:rsidRDefault="00AD513A" w:rsidP="00AD513A">
      <w:pPr>
        <w:autoSpaceDE w:val="0"/>
        <w:autoSpaceDN w:val="0"/>
        <w:adjustRightInd w:val="0"/>
        <w:rPr>
          <w:rFonts w:cs="HelveticaNeue"/>
          <w:color w:val="FF3333"/>
          <w:sz w:val="28"/>
          <w:szCs w:val="28"/>
        </w:rPr>
      </w:pPr>
      <w:r w:rsidRPr="00AD513A">
        <w:rPr>
          <w:rFonts w:cs="HelveticaNeue"/>
          <w:color w:val="000000"/>
          <w:sz w:val="28"/>
          <w:szCs w:val="28"/>
        </w:rPr>
        <w:t xml:space="preserve">Le calcul du BFR = </w:t>
      </w:r>
      <w:r w:rsidRPr="00AD513A">
        <w:rPr>
          <w:rFonts w:cs="HelveticaNeue"/>
          <w:color w:val="6666FF"/>
          <w:sz w:val="28"/>
          <w:szCs w:val="28"/>
        </w:rPr>
        <w:t xml:space="preserve">durée de stockage </w:t>
      </w:r>
      <w:r w:rsidRPr="00AD513A">
        <w:rPr>
          <w:rFonts w:cs="HelveticaNeue"/>
          <w:color w:val="000000"/>
          <w:sz w:val="28"/>
          <w:szCs w:val="28"/>
        </w:rPr>
        <w:t xml:space="preserve">+ </w:t>
      </w:r>
      <w:r w:rsidRPr="00AD513A">
        <w:rPr>
          <w:rFonts w:cs="HelveticaNeue"/>
          <w:color w:val="99FF66"/>
          <w:sz w:val="28"/>
          <w:szCs w:val="28"/>
        </w:rPr>
        <w:t>délai clients</w:t>
      </w:r>
      <w:r w:rsidRPr="00AD513A">
        <w:rPr>
          <w:rFonts w:cs="HelveticaNeue"/>
          <w:color w:val="000000"/>
          <w:sz w:val="28"/>
          <w:szCs w:val="28"/>
        </w:rPr>
        <w:t xml:space="preserve"> - </w:t>
      </w:r>
      <w:r w:rsidRPr="00AD513A">
        <w:rPr>
          <w:rFonts w:cs="HelveticaNeue"/>
          <w:color w:val="FF3333"/>
          <w:sz w:val="28"/>
          <w:szCs w:val="28"/>
        </w:rPr>
        <w:t>délai fournisseur.</w:t>
      </w:r>
    </w:p>
    <w:p w:rsidR="00AD513A" w:rsidRPr="00AD513A" w:rsidRDefault="00AD513A" w:rsidP="00AD513A">
      <w:pPr>
        <w:autoSpaceDE w:val="0"/>
        <w:autoSpaceDN w:val="0"/>
        <w:adjustRightInd w:val="0"/>
        <w:rPr>
          <w:rFonts w:cs="Calibri"/>
          <w:sz w:val="28"/>
          <w:szCs w:val="28"/>
        </w:rPr>
      </w:pPr>
    </w:p>
    <w:p w:rsidR="00AD513A" w:rsidRPr="00AD513A" w:rsidRDefault="00AD513A" w:rsidP="00AD513A">
      <w:pPr>
        <w:autoSpaceDE w:val="0"/>
        <w:autoSpaceDN w:val="0"/>
        <w:adjustRightInd w:val="0"/>
        <w:rPr>
          <w:rFonts w:cs="Calibri"/>
          <w:sz w:val="28"/>
          <w:szCs w:val="28"/>
        </w:rPr>
      </w:pPr>
    </w:p>
    <w:p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En France le délai de règlements est fixer à 60 jours ou 45 jours à titre dérogatoire.</w:t>
      </w: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5/ Les principes de gestion de la trésorerie d’exploitation</w:t>
      </w:r>
    </w:p>
    <w:p w:rsidR="003470DE" w:rsidRPr="000D3F70" w:rsidRDefault="003470DE" w:rsidP="003470DE">
      <w:pPr>
        <w:rPr>
          <w:rFonts w:eastAsia="Times New Roman" w:cs="Times New Roman"/>
          <w:sz w:val="28"/>
          <w:szCs w:val="28"/>
          <w:lang w:eastAsia="fr-FR"/>
        </w:rPr>
      </w:pPr>
    </w:p>
    <w:p w:rsidR="00AD513A" w:rsidRPr="00AD513A" w:rsidRDefault="00AD513A" w:rsidP="00AD513A">
      <w:pPr>
        <w:autoSpaceDE w:val="0"/>
        <w:autoSpaceDN w:val="0"/>
        <w:adjustRightInd w:val="0"/>
        <w:rPr>
          <w:rFonts w:cs="HelveticaNeue"/>
          <w:color w:val="000000"/>
          <w:sz w:val="28"/>
          <w:szCs w:val="28"/>
        </w:rPr>
      </w:pPr>
      <w:r w:rsidRPr="00AD513A">
        <w:rPr>
          <w:rFonts w:cs="HelveticaNeue-Italic"/>
          <w:i/>
          <w:iCs/>
          <w:color w:val="000000"/>
          <w:sz w:val="28"/>
          <w:szCs w:val="28"/>
        </w:rPr>
        <w:tab/>
      </w:r>
      <w:r w:rsidRPr="00AD513A">
        <w:rPr>
          <w:rFonts w:cs="HelveticaNeue"/>
          <w:color w:val="000000"/>
          <w:sz w:val="28"/>
          <w:szCs w:val="28"/>
        </w:rPr>
        <w:t xml:space="preserve">L’objectifs du dirigeant c’est de prévenir de façon continue une trésorier positifs, cette Objectifs sera atteint grâce au action suivantes : </w:t>
      </w:r>
    </w:p>
    <w:p w:rsidR="00AD513A" w:rsidRPr="00AD513A" w:rsidRDefault="00AD513A" w:rsidP="00AD513A">
      <w:pPr>
        <w:autoSpaceDE w:val="0"/>
        <w:autoSpaceDN w:val="0"/>
        <w:adjustRightInd w:val="0"/>
        <w:rPr>
          <w:rFonts w:cs="Calibri"/>
          <w:sz w:val="28"/>
          <w:szCs w:val="28"/>
        </w:rPr>
      </w:pPr>
    </w:p>
    <w:p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En limitant la durée du stockage et la quitte de marchandise en stock, tout en ayant le soucie d’éviter la rupture.</w:t>
      </w:r>
    </w:p>
    <w:p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En négociant des condition d’achat et de payement favorable avec les fournisseurs tout en faisant attention a ce que la qualité et le délai de livraison soit respecté.</w:t>
      </w:r>
    </w:p>
    <w:p w:rsidR="00AD513A" w:rsidRPr="00AD513A" w:rsidRDefault="00AD513A" w:rsidP="00AD513A">
      <w:pPr>
        <w:tabs>
          <w:tab w:val="left" w:pos="20"/>
          <w:tab w:val="left" w:pos="240"/>
        </w:tabs>
        <w:autoSpaceDE w:val="0"/>
        <w:autoSpaceDN w:val="0"/>
        <w:adjustRightInd w:val="0"/>
        <w:ind w:left="240" w:hanging="240"/>
        <w:rPr>
          <w:rFonts w:cs="HelveticaNeue"/>
          <w:color w:val="000000"/>
          <w:sz w:val="28"/>
          <w:szCs w:val="28"/>
        </w:rPr>
      </w:pPr>
      <w:r w:rsidRPr="00AD513A">
        <w:rPr>
          <w:rFonts w:cs="HelveticaNeue"/>
          <w:color w:val="000000"/>
          <w:sz w:val="28"/>
          <w:szCs w:val="28"/>
        </w:rPr>
        <w:t>En négociant d</w:t>
      </w:r>
      <w:r>
        <w:rPr>
          <w:rFonts w:cs="HelveticaNeue"/>
          <w:color w:val="000000"/>
          <w:sz w:val="28"/>
          <w:szCs w:val="28"/>
        </w:rPr>
        <w:t>e</w:t>
      </w:r>
      <w:r w:rsidRPr="00AD513A">
        <w:rPr>
          <w:rFonts w:cs="HelveticaNeue"/>
          <w:color w:val="000000"/>
          <w:sz w:val="28"/>
          <w:szCs w:val="28"/>
        </w:rPr>
        <w:t>s conditions de règlement au près des clients a des conditions avantageuse, le délai et les avance.</w:t>
      </w:r>
    </w:p>
    <w:p w:rsidR="00AD513A" w:rsidRPr="00AD513A" w:rsidRDefault="00AD513A" w:rsidP="00AD513A">
      <w:pPr>
        <w:autoSpaceDE w:val="0"/>
        <w:autoSpaceDN w:val="0"/>
        <w:adjustRightInd w:val="0"/>
        <w:rPr>
          <w:rFonts w:cs="Calibri"/>
          <w:sz w:val="28"/>
          <w:szCs w:val="28"/>
        </w:rPr>
      </w:pPr>
    </w:p>
    <w:p w:rsidR="00AD513A" w:rsidRPr="00AD513A" w:rsidRDefault="00AD513A" w:rsidP="00AD513A">
      <w:pPr>
        <w:autoSpaceDE w:val="0"/>
        <w:autoSpaceDN w:val="0"/>
        <w:adjustRightInd w:val="0"/>
        <w:rPr>
          <w:rFonts w:cs="HelveticaNeue"/>
          <w:color w:val="000000"/>
          <w:sz w:val="28"/>
          <w:szCs w:val="28"/>
        </w:rPr>
      </w:pPr>
      <w:r w:rsidRPr="00AD513A">
        <w:rPr>
          <w:rFonts w:cs="HelveticaNeue"/>
          <w:color w:val="000000"/>
          <w:sz w:val="28"/>
          <w:szCs w:val="28"/>
        </w:rPr>
        <w:t>En France le délai de règlements est fixer à 60 jours ou 45 jours à titre dérogatoire.</w:t>
      </w:r>
    </w:p>
    <w:p w:rsidR="00AD513A" w:rsidRPr="00AD513A" w:rsidRDefault="00AD513A" w:rsidP="00AD513A">
      <w:pPr>
        <w:autoSpaceDE w:val="0"/>
        <w:autoSpaceDN w:val="0"/>
        <w:adjustRightInd w:val="0"/>
        <w:rPr>
          <w:rFonts w:cs="Calibri"/>
          <w:sz w:val="28"/>
          <w:szCs w:val="28"/>
        </w:rPr>
      </w:pPr>
    </w:p>
    <w:p w:rsidR="003470DE" w:rsidRPr="00AD513A" w:rsidRDefault="003470DE" w:rsidP="00AD513A">
      <w:pPr>
        <w:rPr>
          <w:b/>
          <w:color w:val="FF0000"/>
          <w:sz w:val="28"/>
          <w:szCs w:val="28"/>
          <w:u w:val="single"/>
        </w:rPr>
      </w:pPr>
    </w:p>
    <w:p w:rsidR="003470DE" w:rsidRPr="00AD513A" w:rsidRDefault="003470DE" w:rsidP="003470DE">
      <w:pPr>
        <w:autoSpaceDE w:val="0"/>
        <w:autoSpaceDN w:val="0"/>
        <w:adjustRightInd w:val="0"/>
        <w:rPr>
          <w:rFonts w:cs="Calibri"/>
          <w:sz w:val="28"/>
          <w:szCs w:val="28"/>
        </w:rPr>
      </w:pPr>
    </w:p>
    <w:p w:rsidR="003470DE" w:rsidRPr="00AD513A" w:rsidRDefault="003470DE" w:rsidP="00AD513A">
      <w:pPr>
        <w:autoSpaceDE w:val="0"/>
        <w:autoSpaceDN w:val="0"/>
        <w:adjustRightInd w:val="0"/>
        <w:rPr>
          <w:rFonts w:cs="HelveticaNeue"/>
          <w:color w:val="FF3333"/>
          <w:sz w:val="28"/>
          <w:szCs w:val="28"/>
        </w:rPr>
      </w:pPr>
    </w:p>
    <w:p w:rsidR="003470DE" w:rsidRPr="00AD513A" w:rsidRDefault="003470DE" w:rsidP="003470DE">
      <w:pPr>
        <w:autoSpaceDE w:val="0"/>
        <w:autoSpaceDN w:val="0"/>
        <w:adjustRightInd w:val="0"/>
        <w:rPr>
          <w:rFonts w:cs="Calibri"/>
          <w:sz w:val="28"/>
          <w:szCs w:val="28"/>
        </w:rPr>
      </w:pPr>
    </w:p>
    <w:p w:rsidR="003470DE" w:rsidRPr="00AD513A" w:rsidRDefault="003470DE" w:rsidP="003470DE">
      <w:pPr>
        <w:autoSpaceDE w:val="0"/>
        <w:autoSpaceDN w:val="0"/>
        <w:adjustRightInd w:val="0"/>
        <w:rPr>
          <w:rFonts w:cs="Calibri"/>
          <w:sz w:val="28"/>
          <w:szCs w:val="28"/>
        </w:rPr>
      </w:pPr>
    </w:p>
    <w:p w:rsidR="003470DE" w:rsidRPr="00AD513A" w:rsidRDefault="003470DE" w:rsidP="003470DE">
      <w:pPr>
        <w:autoSpaceDE w:val="0"/>
        <w:autoSpaceDN w:val="0"/>
        <w:adjustRightInd w:val="0"/>
        <w:rPr>
          <w:rFonts w:cs="HelveticaNeue"/>
          <w:color w:val="000000"/>
          <w:sz w:val="28"/>
          <w:szCs w:val="28"/>
        </w:rPr>
      </w:pPr>
      <w:r w:rsidRPr="00AD513A">
        <w:rPr>
          <w:rFonts w:cs="HelveticaNeue"/>
          <w:color w:val="000000"/>
          <w:sz w:val="28"/>
          <w:szCs w:val="28"/>
        </w:rPr>
        <w:t>.</w:t>
      </w:r>
    </w:p>
    <w:p w:rsidR="003470DE" w:rsidRPr="00AD513A" w:rsidRDefault="003470DE" w:rsidP="003470DE">
      <w:pPr>
        <w:autoSpaceDE w:val="0"/>
        <w:autoSpaceDN w:val="0"/>
        <w:adjustRightInd w:val="0"/>
        <w:rPr>
          <w:rFonts w:cs="Calibri"/>
          <w:sz w:val="28"/>
          <w:szCs w:val="28"/>
        </w:rPr>
      </w:pPr>
    </w:p>
    <w:p w:rsidR="003470DE" w:rsidRDefault="003470DE" w:rsidP="003470DE">
      <w:pPr>
        <w:autoSpaceDE w:val="0"/>
        <w:autoSpaceDN w:val="0"/>
        <w:adjustRightInd w:val="0"/>
        <w:rPr>
          <w:rFonts w:cs="Calibri"/>
          <w:sz w:val="22"/>
          <w:szCs w:val="22"/>
        </w:rPr>
      </w:pPr>
    </w:p>
    <w:p w:rsidR="00AD513A" w:rsidRDefault="00AD513A" w:rsidP="003470DE">
      <w:pPr>
        <w:autoSpaceDE w:val="0"/>
        <w:autoSpaceDN w:val="0"/>
        <w:adjustRightInd w:val="0"/>
        <w:rPr>
          <w:rFonts w:cs="Calibri"/>
          <w:sz w:val="22"/>
          <w:szCs w:val="22"/>
        </w:rPr>
      </w:pPr>
    </w:p>
    <w:p w:rsidR="00AD513A" w:rsidRDefault="00AD513A" w:rsidP="003470DE">
      <w:pPr>
        <w:autoSpaceDE w:val="0"/>
        <w:autoSpaceDN w:val="0"/>
        <w:adjustRightInd w:val="0"/>
        <w:rPr>
          <w:rFonts w:cs="Calibri"/>
          <w:sz w:val="22"/>
          <w:szCs w:val="22"/>
        </w:rPr>
      </w:pPr>
    </w:p>
    <w:p w:rsidR="00AD513A" w:rsidRDefault="00AD513A" w:rsidP="003470DE">
      <w:pPr>
        <w:autoSpaceDE w:val="0"/>
        <w:autoSpaceDN w:val="0"/>
        <w:adjustRightInd w:val="0"/>
        <w:rPr>
          <w:rFonts w:cs="Calibri"/>
          <w:sz w:val="22"/>
          <w:szCs w:val="22"/>
        </w:rPr>
      </w:pPr>
    </w:p>
    <w:p w:rsidR="00AD513A" w:rsidRDefault="00AD513A" w:rsidP="003470DE">
      <w:pPr>
        <w:autoSpaceDE w:val="0"/>
        <w:autoSpaceDN w:val="0"/>
        <w:adjustRightInd w:val="0"/>
        <w:rPr>
          <w:rFonts w:cs="Calibri"/>
          <w:sz w:val="22"/>
          <w:szCs w:val="22"/>
        </w:rPr>
      </w:pPr>
    </w:p>
    <w:p w:rsidR="00AD513A" w:rsidRPr="003470DE" w:rsidRDefault="00AD513A" w:rsidP="00AD513A">
      <w:pPr>
        <w:autoSpaceDE w:val="0"/>
        <w:autoSpaceDN w:val="0"/>
        <w:adjustRightInd w:val="0"/>
        <w:rPr>
          <w:rFonts w:cs="HelveticaNeue"/>
          <w:b/>
          <w:color w:val="000000"/>
          <w:sz w:val="32"/>
          <w:szCs w:val="32"/>
        </w:rPr>
      </w:pPr>
      <w:r w:rsidRPr="00AA10D3">
        <w:rPr>
          <w:rFonts w:cs="HelveticaNeue"/>
          <w:color w:val="000000"/>
          <w:sz w:val="32"/>
          <w:szCs w:val="32"/>
        </w:rPr>
        <w:t xml:space="preserve">Chapitre </w:t>
      </w:r>
      <w:r>
        <w:rPr>
          <w:rFonts w:cs="HelveticaNeue"/>
          <w:color w:val="000000"/>
          <w:sz w:val="32"/>
          <w:szCs w:val="32"/>
        </w:rPr>
        <w:t>C</w:t>
      </w:r>
      <w:r w:rsidRPr="003470DE">
        <w:rPr>
          <w:rFonts w:cs="HelveticaNeue"/>
          <w:b/>
          <w:color w:val="000000"/>
          <w:sz w:val="32"/>
          <w:szCs w:val="32"/>
        </w:rPr>
        <w:t xml:space="preserve">/ </w:t>
      </w:r>
      <w:r w:rsidRPr="00AD513A">
        <w:rPr>
          <w:rFonts w:cs="HelveticaNeue"/>
          <w:b/>
          <w:color w:val="000000"/>
          <w:sz w:val="32"/>
          <w:szCs w:val="32"/>
          <w:u w:val="single"/>
        </w:rPr>
        <w:t>La Facturation</w:t>
      </w:r>
    </w:p>
    <w:p w:rsidR="00AD513A" w:rsidRDefault="00AD513A" w:rsidP="00AD513A">
      <w:pPr>
        <w:autoSpaceDE w:val="0"/>
        <w:autoSpaceDN w:val="0"/>
        <w:adjustRightInd w:val="0"/>
        <w:rPr>
          <w:rFonts w:cs="HelveticaNeue"/>
          <w:color w:val="000000"/>
          <w:sz w:val="22"/>
          <w:szCs w:val="22"/>
        </w:rPr>
      </w:pPr>
    </w:p>
    <w:p w:rsidR="00AD513A" w:rsidRPr="000D3F70" w:rsidRDefault="00AD513A" w:rsidP="00AD513A">
      <w:pPr>
        <w:autoSpaceDE w:val="0"/>
        <w:autoSpaceDN w:val="0"/>
        <w:adjustRightInd w:val="0"/>
      </w:pPr>
      <w:r>
        <w:rPr>
          <w:rFonts w:cs="HelveticaNeue"/>
          <w:color w:val="000000"/>
          <w:sz w:val="22"/>
          <w:szCs w:val="22"/>
        </w:rPr>
        <w:t>la</w:t>
      </w:r>
      <w:r w:rsidRPr="000D3F70">
        <w:t xml:space="preserve"> facture est un document légal attestant de la vente et réclament le prix aux clients. Pour le vendeur c’est le point de départ de la dette du client et c’est l’origine de l’enregistrement des ventes et du calcul du CA.</w:t>
      </w:r>
    </w:p>
    <w:p w:rsidR="00AD513A" w:rsidRPr="000D3F70" w:rsidRDefault="00AD513A" w:rsidP="00AD513A">
      <w:pPr>
        <w:jc w:val="both"/>
      </w:pPr>
      <w:r w:rsidRPr="000D3F70">
        <w:t>Pour le client elle permet de justifier de son achat auprès de son assurance et du S.A.V (Service Après-Vente). Pour les entreprises elle permet la déductibilité au regard de l’impôt et la TVA.</w:t>
      </w:r>
    </w:p>
    <w:p w:rsidR="00AD513A" w:rsidRPr="000D3F70" w:rsidRDefault="00AD513A" w:rsidP="00AD513A">
      <w:pPr>
        <w:jc w:val="both"/>
      </w:pPr>
    </w:p>
    <w:p w:rsidR="00AD513A" w:rsidRPr="000D3F70" w:rsidRDefault="00AD513A" w:rsidP="00AD513A">
      <w:pPr>
        <w:jc w:val="both"/>
        <w:rPr>
          <w:b/>
          <w:color w:val="4F81BD" w:themeColor="accent1"/>
          <w:sz w:val="32"/>
          <w:u w:val="single"/>
        </w:rPr>
      </w:pPr>
      <w:r w:rsidRPr="000D3F70">
        <w:rPr>
          <w:b/>
          <w:color w:val="4F81BD" w:themeColor="accent1"/>
          <w:sz w:val="32"/>
          <w:u w:val="single"/>
        </w:rPr>
        <w:t>1</w:t>
      </w:r>
      <w:r w:rsidRPr="000D3F70">
        <w:rPr>
          <w:b/>
          <w:color w:val="4F81BD" w:themeColor="accent1"/>
          <w:sz w:val="32"/>
          <w:u w:val="single"/>
          <w:vertAlign w:val="superscript"/>
        </w:rPr>
        <w:t xml:space="preserve">ère </w:t>
      </w:r>
      <w:r w:rsidRPr="000D3F70">
        <w:rPr>
          <w:b/>
          <w:color w:val="4F81BD" w:themeColor="accent1"/>
          <w:sz w:val="32"/>
          <w:u w:val="single"/>
        </w:rPr>
        <w:t>Partie : Les règles de présentation de la facture :</w:t>
      </w:r>
    </w:p>
    <w:p w:rsidR="00AD513A" w:rsidRPr="000D3F70" w:rsidRDefault="00AD513A" w:rsidP="00AD513A">
      <w:pPr>
        <w:jc w:val="both"/>
        <w:rPr>
          <w:sz w:val="32"/>
        </w:rPr>
      </w:pPr>
    </w:p>
    <w:p w:rsidR="00AD513A" w:rsidRPr="000D3F70" w:rsidRDefault="00AD513A" w:rsidP="00AD513A">
      <w:pPr>
        <w:jc w:val="both"/>
      </w:pPr>
      <w:r w:rsidRPr="000D3F70">
        <w:t>La facture est un document éditer en plusieurs exemplaire. L’original obligatoire pour le client et un exemplaire pour la comptabilité du vendeur. La facture peut être accompagnée par d’autres documents : le bon de livraison et le bon de garantie.</w:t>
      </w:r>
    </w:p>
    <w:p w:rsidR="00AD513A" w:rsidRPr="000D3F70" w:rsidRDefault="00AD513A" w:rsidP="00AD513A">
      <w:pPr>
        <w:jc w:val="both"/>
      </w:pPr>
    </w:p>
    <w:p w:rsidR="00AD513A" w:rsidRPr="000D3F70" w:rsidRDefault="00AD513A" w:rsidP="00AD513A">
      <w:pPr>
        <w:jc w:val="both"/>
      </w:pPr>
      <w:r w:rsidRPr="000D3F70">
        <w:t>Les mentions générales obligatoire pour toutes les factures sont les suivantes :</w:t>
      </w:r>
    </w:p>
    <w:p w:rsidR="00AD513A" w:rsidRPr="000D3F70" w:rsidRDefault="00AD513A" w:rsidP="00AD513A">
      <w:pPr>
        <w:jc w:val="both"/>
      </w:pPr>
    </w:p>
    <w:p w:rsidR="00AD513A" w:rsidRPr="000D3F70" w:rsidRDefault="00AD513A" w:rsidP="00AD513A">
      <w:pPr>
        <w:pStyle w:val="Paragraphedeliste"/>
        <w:numPr>
          <w:ilvl w:val="0"/>
          <w:numId w:val="17"/>
        </w:numPr>
        <w:jc w:val="both"/>
      </w:pPr>
      <w:r w:rsidRPr="000D3F70">
        <w:t>La date d’émission de la facture,</w:t>
      </w:r>
    </w:p>
    <w:p w:rsidR="00AD513A" w:rsidRPr="000D3F70" w:rsidRDefault="00AD513A" w:rsidP="00AD513A">
      <w:pPr>
        <w:pStyle w:val="Paragraphedeliste"/>
        <w:numPr>
          <w:ilvl w:val="0"/>
          <w:numId w:val="17"/>
        </w:numPr>
        <w:jc w:val="both"/>
      </w:pPr>
      <w:r w:rsidRPr="000D3F70">
        <w:t>La numérotation chronologique d’une facture,</w:t>
      </w:r>
    </w:p>
    <w:p w:rsidR="00AD513A" w:rsidRDefault="00AD513A" w:rsidP="00AD513A">
      <w:pPr>
        <w:pStyle w:val="Paragraphedeliste"/>
        <w:numPr>
          <w:ilvl w:val="0"/>
          <w:numId w:val="17"/>
        </w:numPr>
        <w:jc w:val="both"/>
      </w:pPr>
      <w:r w:rsidRPr="000D3F70">
        <w:t>La date de la vente ou de la prestation de service,</w:t>
      </w:r>
    </w:p>
    <w:p w:rsidR="00AD513A" w:rsidRPr="000D3F70" w:rsidRDefault="00AD513A" w:rsidP="00AD513A">
      <w:pPr>
        <w:pStyle w:val="Paragraphedeliste"/>
        <w:numPr>
          <w:ilvl w:val="0"/>
          <w:numId w:val="17"/>
        </w:numPr>
        <w:jc w:val="both"/>
      </w:pPr>
      <w:r>
        <w:t>Le numéro de facture</w:t>
      </w:r>
    </w:p>
    <w:p w:rsidR="00AD513A" w:rsidRPr="000D3F70" w:rsidRDefault="00AD513A" w:rsidP="00AD513A">
      <w:pPr>
        <w:pStyle w:val="Paragraphedeliste"/>
        <w:numPr>
          <w:ilvl w:val="0"/>
          <w:numId w:val="17"/>
        </w:numPr>
        <w:jc w:val="both"/>
      </w:pPr>
      <w:r w:rsidRPr="000D3F70">
        <w:t xml:space="preserve">Identité de l’acheteur </w:t>
      </w:r>
      <w:r>
        <w:t>et</w:t>
      </w:r>
      <w:r w:rsidRPr="000D3F70">
        <w:t xml:space="preserve"> du vendeur,</w:t>
      </w:r>
    </w:p>
    <w:p w:rsidR="00AD513A" w:rsidRPr="000D3F70" w:rsidRDefault="00AD513A" w:rsidP="00AD513A">
      <w:pPr>
        <w:pStyle w:val="Paragraphedeliste"/>
        <w:numPr>
          <w:ilvl w:val="0"/>
          <w:numId w:val="17"/>
        </w:numPr>
        <w:jc w:val="both"/>
      </w:pPr>
      <w:r w:rsidRPr="000D3F70">
        <w:t>Le numéro individuel d’identification de la TVA,</w:t>
      </w:r>
    </w:p>
    <w:p w:rsidR="00AD513A" w:rsidRPr="000D3F70" w:rsidRDefault="00AD513A" w:rsidP="00AD513A">
      <w:pPr>
        <w:pStyle w:val="Paragraphedeliste"/>
        <w:numPr>
          <w:ilvl w:val="0"/>
          <w:numId w:val="17"/>
        </w:numPr>
        <w:jc w:val="both"/>
      </w:pPr>
      <w:r w:rsidRPr="000D3F70">
        <w:t>Numéro de TVA intracommunautaire,</w:t>
      </w:r>
    </w:p>
    <w:p w:rsidR="00AD513A" w:rsidRPr="000D3F70" w:rsidRDefault="00AD513A" w:rsidP="00AD513A">
      <w:pPr>
        <w:pStyle w:val="Paragraphedeliste"/>
        <w:numPr>
          <w:ilvl w:val="0"/>
          <w:numId w:val="17"/>
        </w:numPr>
        <w:jc w:val="both"/>
      </w:pPr>
      <w:r w:rsidRPr="000D3F70">
        <w:t>Le prix unitaire,</w:t>
      </w:r>
    </w:p>
    <w:p w:rsidR="00AD513A" w:rsidRPr="000D3F70" w:rsidRDefault="00AD513A" w:rsidP="00AD513A">
      <w:pPr>
        <w:pStyle w:val="Paragraphedeliste"/>
        <w:numPr>
          <w:ilvl w:val="0"/>
          <w:numId w:val="17"/>
        </w:numPr>
        <w:jc w:val="both"/>
      </w:pPr>
      <w:r w:rsidRPr="000D3F70">
        <w:t>Le taux de TVA</w:t>
      </w:r>
    </w:p>
    <w:p w:rsidR="00AD513A" w:rsidRPr="000D3F70" w:rsidRDefault="00AD513A" w:rsidP="00AD513A">
      <w:pPr>
        <w:pStyle w:val="Paragraphedeliste"/>
        <w:numPr>
          <w:ilvl w:val="0"/>
          <w:numId w:val="17"/>
        </w:numPr>
        <w:jc w:val="both"/>
      </w:pPr>
      <w:r w:rsidRPr="000D3F70">
        <w:t>Les éventuelles réductions de prix (R.R.R),</w:t>
      </w:r>
    </w:p>
    <w:p w:rsidR="00AD513A" w:rsidRPr="000D3F70" w:rsidRDefault="00AD513A" w:rsidP="00AD513A">
      <w:pPr>
        <w:pStyle w:val="Paragraphedeliste"/>
        <w:numPr>
          <w:ilvl w:val="0"/>
          <w:numId w:val="17"/>
        </w:numPr>
        <w:jc w:val="both"/>
      </w:pPr>
      <w:r w:rsidRPr="000D3F70">
        <w:t>La somme Hors Taxe,</w:t>
      </w:r>
    </w:p>
    <w:p w:rsidR="00AD513A" w:rsidRPr="000D3F70" w:rsidRDefault="00AD513A" w:rsidP="00AD513A">
      <w:pPr>
        <w:pStyle w:val="Paragraphedeliste"/>
        <w:numPr>
          <w:ilvl w:val="0"/>
          <w:numId w:val="17"/>
        </w:numPr>
        <w:jc w:val="both"/>
      </w:pPr>
      <w:r w:rsidRPr="000D3F70">
        <w:t>La somme TTC,</w:t>
      </w:r>
    </w:p>
    <w:p w:rsidR="00AD513A" w:rsidRPr="000D3F70" w:rsidRDefault="00AD513A" w:rsidP="00AD513A">
      <w:pPr>
        <w:pStyle w:val="Paragraphedeliste"/>
        <w:numPr>
          <w:ilvl w:val="0"/>
          <w:numId w:val="17"/>
        </w:numPr>
        <w:jc w:val="both"/>
      </w:pPr>
      <w:r w:rsidRPr="000D3F70">
        <w:t xml:space="preserve">Mode de règlement </w:t>
      </w:r>
    </w:p>
    <w:p w:rsidR="00AD513A" w:rsidRPr="000D3F70" w:rsidRDefault="00AD513A" w:rsidP="00AD513A">
      <w:pPr>
        <w:jc w:val="both"/>
      </w:pPr>
    </w:p>
    <w:p w:rsidR="00AD513A" w:rsidRPr="00330C42" w:rsidRDefault="00AD513A" w:rsidP="00AD513A">
      <w:pPr>
        <w:jc w:val="both"/>
        <w:rPr>
          <w:b/>
          <w:color w:val="4F81BD" w:themeColor="accent1"/>
          <w:sz w:val="32"/>
          <w:szCs w:val="32"/>
          <w:u w:val="single"/>
        </w:rPr>
      </w:pPr>
      <w:r w:rsidRPr="00330C42">
        <w:rPr>
          <w:b/>
          <w:color w:val="4F81BD" w:themeColor="accent1"/>
          <w:sz w:val="32"/>
          <w:szCs w:val="32"/>
          <w:u w:val="single"/>
        </w:rPr>
        <w:t>2eme Partie : Le Calcule du net à payer :</w:t>
      </w:r>
    </w:p>
    <w:p w:rsidR="00AD513A" w:rsidRPr="00330C42" w:rsidRDefault="00AD513A" w:rsidP="00AD513A">
      <w:pPr>
        <w:jc w:val="both"/>
        <w:rPr>
          <w:b/>
          <w:color w:val="4F81BD" w:themeColor="accent1"/>
          <w:sz w:val="32"/>
          <w:szCs w:val="32"/>
          <w:u w:val="single"/>
        </w:rPr>
      </w:pPr>
    </w:p>
    <w:p w:rsidR="00AD513A" w:rsidRPr="00330C42" w:rsidRDefault="00AD513A" w:rsidP="00AD513A">
      <w:pPr>
        <w:jc w:val="both"/>
        <w:rPr>
          <w:b/>
          <w:i/>
          <w:color w:val="F79646" w:themeColor="accent6"/>
          <w:sz w:val="32"/>
          <w:szCs w:val="32"/>
          <w:u w:val="single"/>
        </w:rPr>
      </w:pPr>
      <w:r w:rsidRPr="00330C42">
        <w:rPr>
          <w:b/>
          <w:i/>
          <w:color w:val="F79646" w:themeColor="accent6"/>
          <w:sz w:val="32"/>
          <w:szCs w:val="32"/>
          <w:u w:val="single"/>
        </w:rPr>
        <w:t>A) La prise en compte de la TVA :</w:t>
      </w:r>
    </w:p>
    <w:p w:rsidR="00AD513A" w:rsidRPr="00330C42" w:rsidRDefault="00AD513A" w:rsidP="00AD513A">
      <w:pPr>
        <w:jc w:val="both"/>
        <w:rPr>
          <w:sz w:val="32"/>
          <w:szCs w:val="32"/>
        </w:rPr>
      </w:pPr>
    </w:p>
    <w:p w:rsidR="00AD513A" w:rsidRPr="00330C42" w:rsidRDefault="00AD513A" w:rsidP="00AD513A">
      <w:pPr>
        <w:jc w:val="both"/>
        <w:rPr>
          <w:b/>
          <w:sz w:val="32"/>
          <w:szCs w:val="32"/>
        </w:rPr>
      </w:pPr>
      <w:r w:rsidRPr="00330C42">
        <w:rPr>
          <w:b/>
          <w:sz w:val="32"/>
          <w:szCs w:val="32"/>
        </w:rPr>
        <w:t>La Taxe sur Valeur Ajouté est une taxe qui s’ajoute au prix de vente. On applique un taux de TVA au net à payer Hors Taxe. Il existe 4 taux :</w:t>
      </w:r>
    </w:p>
    <w:p w:rsidR="00AD513A" w:rsidRPr="00330C42" w:rsidRDefault="00AD513A" w:rsidP="00AD513A">
      <w:pPr>
        <w:jc w:val="both"/>
        <w:rPr>
          <w:b/>
          <w:sz w:val="32"/>
          <w:szCs w:val="32"/>
        </w:rPr>
      </w:pPr>
    </w:p>
    <w:p w:rsidR="00AD513A" w:rsidRPr="00330C42" w:rsidRDefault="00AD513A" w:rsidP="00AD513A">
      <w:pPr>
        <w:pStyle w:val="Paragraphedeliste"/>
        <w:numPr>
          <w:ilvl w:val="0"/>
          <w:numId w:val="17"/>
        </w:numPr>
        <w:jc w:val="both"/>
        <w:rPr>
          <w:b/>
          <w:sz w:val="32"/>
          <w:szCs w:val="32"/>
        </w:rPr>
      </w:pPr>
      <w:r w:rsidRPr="00330C42">
        <w:rPr>
          <w:b/>
          <w:sz w:val="32"/>
          <w:szCs w:val="32"/>
        </w:rPr>
        <w:t>Taux normal 20%</w:t>
      </w:r>
    </w:p>
    <w:p w:rsidR="00AD513A" w:rsidRPr="00330C42" w:rsidRDefault="00AD513A" w:rsidP="00AD513A">
      <w:pPr>
        <w:pStyle w:val="Paragraphedeliste"/>
        <w:numPr>
          <w:ilvl w:val="0"/>
          <w:numId w:val="17"/>
        </w:numPr>
        <w:jc w:val="both"/>
        <w:rPr>
          <w:b/>
          <w:sz w:val="32"/>
          <w:szCs w:val="32"/>
        </w:rPr>
      </w:pPr>
      <w:r w:rsidRPr="00330C42">
        <w:rPr>
          <w:b/>
          <w:sz w:val="32"/>
          <w:szCs w:val="32"/>
        </w:rPr>
        <w:t>Taux intermédiaire 10%</w:t>
      </w:r>
    </w:p>
    <w:p w:rsidR="00AD513A" w:rsidRPr="00330C42" w:rsidRDefault="00AD513A" w:rsidP="00AD513A">
      <w:pPr>
        <w:pStyle w:val="Paragraphedeliste"/>
        <w:numPr>
          <w:ilvl w:val="0"/>
          <w:numId w:val="17"/>
        </w:numPr>
        <w:jc w:val="both"/>
        <w:rPr>
          <w:b/>
          <w:sz w:val="32"/>
          <w:szCs w:val="32"/>
        </w:rPr>
      </w:pPr>
      <w:r w:rsidRPr="00330C42">
        <w:rPr>
          <w:b/>
          <w:sz w:val="32"/>
          <w:szCs w:val="32"/>
        </w:rPr>
        <w:t>Taux réduit 5,5%</w:t>
      </w:r>
    </w:p>
    <w:p w:rsidR="00AD513A" w:rsidRPr="00330C42" w:rsidRDefault="00AD513A" w:rsidP="00AD513A">
      <w:pPr>
        <w:pStyle w:val="Paragraphedeliste"/>
        <w:numPr>
          <w:ilvl w:val="0"/>
          <w:numId w:val="17"/>
        </w:numPr>
        <w:jc w:val="both"/>
        <w:rPr>
          <w:b/>
          <w:sz w:val="32"/>
          <w:szCs w:val="32"/>
        </w:rPr>
      </w:pPr>
      <w:r w:rsidRPr="00330C42">
        <w:rPr>
          <w:b/>
          <w:sz w:val="32"/>
          <w:szCs w:val="32"/>
        </w:rPr>
        <w:t>Taux particulier 2,1%</w:t>
      </w:r>
    </w:p>
    <w:p w:rsidR="00AD513A" w:rsidRPr="00330C42" w:rsidRDefault="00AD513A" w:rsidP="00AD513A">
      <w:pPr>
        <w:jc w:val="both"/>
        <w:rPr>
          <w:b/>
          <w:sz w:val="32"/>
          <w:szCs w:val="32"/>
        </w:rPr>
      </w:pPr>
    </w:p>
    <w:p w:rsidR="00AD513A" w:rsidRPr="00330C42" w:rsidRDefault="00AD513A" w:rsidP="00AD513A">
      <w:pPr>
        <w:jc w:val="both"/>
        <w:rPr>
          <w:b/>
          <w:sz w:val="32"/>
          <w:szCs w:val="32"/>
        </w:rPr>
      </w:pPr>
      <w:r w:rsidRPr="00330C42">
        <w:rPr>
          <w:b/>
          <w:sz w:val="32"/>
          <w:szCs w:val="32"/>
        </w:rPr>
        <w:t>Lors d’une vente l’entreprise encaisse la TVA versé par son client mais cette taxe ne lui appartient pas elle doit le reverser au Trésor on l’appelle la TVA collectée. A l’inverse lors de l’achat des produits l’entreprise a déjà réglé la TVA à son fournisseur, cette somme vient diminuer le montant versé à l’État elle s’appelle la TVA déductible. Au total l’entreprise reverse au trésor le montant de la TVA collecté moins la TVA Déductible.</w:t>
      </w:r>
    </w:p>
    <w:p w:rsidR="00AD513A" w:rsidRPr="00330C42" w:rsidRDefault="00AD513A" w:rsidP="00AD513A">
      <w:pPr>
        <w:jc w:val="both"/>
        <w:rPr>
          <w:sz w:val="32"/>
          <w:szCs w:val="32"/>
        </w:rPr>
      </w:pPr>
      <w:r w:rsidRPr="00330C42">
        <w:rPr>
          <w:b/>
          <w:sz w:val="32"/>
          <w:szCs w:val="32"/>
        </w:rPr>
        <w:t>Le prix à annoncer au client peut être différent, pour un client entreprise le prix est annoncer Hors Taxe car le professionnel peut déduire la TVA et ne la supporte pas. Pour un particulier et un client administration le prix annoncer est TTC car ils ne peuvent déduire la TVA et la supporte intégralement</w:t>
      </w:r>
      <w:r w:rsidRPr="00330C42">
        <w:rPr>
          <w:sz w:val="32"/>
          <w:szCs w:val="32"/>
        </w:rPr>
        <w:t>.</w:t>
      </w:r>
    </w:p>
    <w:p w:rsidR="00AD513A" w:rsidRPr="000D3F70" w:rsidRDefault="00AD513A" w:rsidP="003470DE">
      <w:pPr>
        <w:autoSpaceDE w:val="0"/>
        <w:autoSpaceDN w:val="0"/>
        <w:adjustRightInd w:val="0"/>
        <w:rPr>
          <w:rFonts w:cs="Calibri"/>
          <w:sz w:val="22"/>
          <w:szCs w:val="22"/>
        </w:rPr>
      </w:pPr>
    </w:p>
    <w:sectPr w:rsidR="00AD513A" w:rsidRPr="000D3F70" w:rsidSect="00110B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5" w:rsidRDefault="00133405" w:rsidP="00D71C56">
      <w:r>
        <w:separator/>
      </w:r>
    </w:p>
  </w:endnote>
  <w:endnote w:type="continuationSeparator" w:id="0">
    <w:p w:rsidR="00133405" w:rsidRDefault="00133405" w:rsidP="00D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1985"/>
      <w:docPartObj>
        <w:docPartGallery w:val="Page Numbers (Bottom of Page)"/>
        <w:docPartUnique/>
      </w:docPartObj>
    </w:sdtPr>
    <w:sdtEndPr/>
    <w:sdtContent>
      <w:p w:rsidR="000E4C49" w:rsidRDefault="00160FB4">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0E4C49" w:rsidRDefault="000E4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5" w:rsidRDefault="00133405" w:rsidP="00D71C56">
      <w:r>
        <w:separator/>
      </w:r>
    </w:p>
  </w:footnote>
  <w:footnote w:type="continuationSeparator" w:id="0">
    <w:p w:rsidR="00133405" w:rsidRDefault="00133405" w:rsidP="00D7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CCE43E"/>
    <w:lvl w:ilvl="0">
      <w:numFmt w:val="bullet"/>
      <w:lvlText w:val="*"/>
      <w:lvlJc w:val="left"/>
    </w:lvl>
  </w:abstractNum>
  <w:abstractNum w:abstractNumId="1">
    <w:nsid w:val="03EF181E"/>
    <w:multiLevelType w:val="hybridMultilevel"/>
    <w:tmpl w:val="26BED51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5CD2C6A"/>
    <w:multiLevelType w:val="hybridMultilevel"/>
    <w:tmpl w:val="933A8E4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68A10ED"/>
    <w:multiLevelType w:val="hybridMultilevel"/>
    <w:tmpl w:val="BCD277F0"/>
    <w:lvl w:ilvl="0" w:tplc="BC1069D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A242849"/>
    <w:multiLevelType w:val="hybridMultilevel"/>
    <w:tmpl w:val="7368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6D428F"/>
    <w:multiLevelType w:val="hybridMultilevel"/>
    <w:tmpl w:val="7334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9B219C"/>
    <w:multiLevelType w:val="hybridMultilevel"/>
    <w:tmpl w:val="45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B4293"/>
    <w:multiLevelType w:val="hybridMultilevel"/>
    <w:tmpl w:val="6630D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106791"/>
    <w:multiLevelType w:val="hybridMultilevel"/>
    <w:tmpl w:val="68BC8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66ECF"/>
    <w:multiLevelType w:val="hybridMultilevel"/>
    <w:tmpl w:val="779ACB0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A8166E"/>
    <w:multiLevelType w:val="hybridMultilevel"/>
    <w:tmpl w:val="598E0B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1EE619A0"/>
    <w:multiLevelType w:val="hybridMultilevel"/>
    <w:tmpl w:val="6DF8252A"/>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82D8F"/>
    <w:multiLevelType w:val="hybridMultilevel"/>
    <w:tmpl w:val="13B8C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67934"/>
    <w:multiLevelType w:val="hybridMultilevel"/>
    <w:tmpl w:val="C8B0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C83079"/>
    <w:multiLevelType w:val="hybridMultilevel"/>
    <w:tmpl w:val="B152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0F4737"/>
    <w:multiLevelType w:val="hybridMultilevel"/>
    <w:tmpl w:val="8E82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73372"/>
    <w:multiLevelType w:val="hybridMultilevel"/>
    <w:tmpl w:val="95F43B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35A24F7A"/>
    <w:multiLevelType w:val="hybridMultilevel"/>
    <w:tmpl w:val="77A2EF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3F1C43"/>
    <w:multiLevelType w:val="hybridMultilevel"/>
    <w:tmpl w:val="14705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4476B9"/>
    <w:multiLevelType w:val="hybridMultilevel"/>
    <w:tmpl w:val="E1647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1F223C"/>
    <w:multiLevelType w:val="hybridMultilevel"/>
    <w:tmpl w:val="AFDAB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656D89"/>
    <w:multiLevelType w:val="hybridMultilevel"/>
    <w:tmpl w:val="DE4E1574"/>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E94F36"/>
    <w:multiLevelType w:val="hybridMultilevel"/>
    <w:tmpl w:val="6254A9BE"/>
    <w:lvl w:ilvl="0" w:tplc="B29EF68E">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707202F"/>
    <w:multiLevelType w:val="hybridMultilevel"/>
    <w:tmpl w:val="9D184304"/>
    <w:lvl w:ilvl="0" w:tplc="7F64AF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BC26AD"/>
    <w:multiLevelType w:val="hybridMultilevel"/>
    <w:tmpl w:val="51F6E19E"/>
    <w:lvl w:ilvl="0" w:tplc="1AB8559A">
      <w:start w:val="1"/>
      <w:numFmt w:val="decimal"/>
      <w:lvlText w:val="%1"/>
      <w:lvlJc w:val="left"/>
      <w:pPr>
        <w:ind w:left="927"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4F2D3951"/>
    <w:multiLevelType w:val="hybridMultilevel"/>
    <w:tmpl w:val="45AE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672668"/>
    <w:multiLevelType w:val="hybridMultilevel"/>
    <w:tmpl w:val="251E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2751B7"/>
    <w:multiLevelType w:val="hybridMultilevel"/>
    <w:tmpl w:val="3DF8CE72"/>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1A1023"/>
    <w:multiLevelType w:val="hybridMultilevel"/>
    <w:tmpl w:val="7EE8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BB1C38"/>
    <w:multiLevelType w:val="hybridMultilevel"/>
    <w:tmpl w:val="A8BE0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6F162E"/>
    <w:multiLevelType w:val="hybridMultilevel"/>
    <w:tmpl w:val="4052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
  </w:num>
  <w:num w:numId="5">
    <w:abstractNumId w:val="18"/>
  </w:num>
  <w:num w:numId="6">
    <w:abstractNumId w:val="9"/>
  </w:num>
  <w:num w:numId="7">
    <w:abstractNumId w:val="16"/>
  </w:num>
  <w:num w:numId="8">
    <w:abstractNumId w:val="4"/>
  </w:num>
  <w:num w:numId="9">
    <w:abstractNumId w:val="21"/>
  </w:num>
  <w:num w:numId="10">
    <w:abstractNumId w:val="20"/>
  </w:num>
  <w:num w:numId="11">
    <w:abstractNumId w:val="5"/>
  </w:num>
  <w:num w:numId="12">
    <w:abstractNumId w:val="28"/>
  </w:num>
  <w:num w:numId="13">
    <w:abstractNumId w:val="22"/>
  </w:num>
  <w:num w:numId="14">
    <w:abstractNumId w:val="11"/>
  </w:num>
  <w:num w:numId="15">
    <w:abstractNumId w:val="25"/>
  </w:num>
  <w:num w:numId="16">
    <w:abstractNumId w:val="13"/>
  </w:num>
  <w:num w:numId="17">
    <w:abstractNumId w:val="24"/>
  </w:num>
  <w:num w:numId="18">
    <w:abstractNumId w:val="19"/>
  </w:num>
  <w:num w:numId="19">
    <w:abstractNumId w:val="6"/>
  </w:num>
  <w:num w:numId="20">
    <w:abstractNumId w:val="27"/>
  </w:num>
  <w:num w:numId="21">
    <w:abstractNumId w:val="3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9"/>
  </w:num>
  <w:num w:numId="24">
    <w:abstractNumId w:val="7"/>
  </w:num>
  <w:num w:numId="25">
    <w:abstractNumId w:val="30"/>
  </w:num>
  <w:num w:numId="26">
    <w:abstractNumId w:val="14"/>
  </w:num>
  <w:num w:numId="27">
    <w:abstractNumId w:val="12"/>
  </w:num>
  <w:num w:numId="28">
    <w:abstractNumId w:val="15"/>
  </w:num>
  <w:num w:numId="29">
    <w:abstractNumId w:val="3"/>
  </w:num>
  <w:num w:numId="30">
    <w:abstractNumId w:val="8"/>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15"/>
    <w:rsid w:val="0000254B"/>
    <w:rsid w:val="00010C9A"/>
    <w:rsid w:val="0001697F"/>
    <w:rsid w:val="00023576"/>
    <w:rsid w:val="00044570"/>
    <w:rsid w:val="00054DC7"/>
    <w:rsid w:val="00061D04"/>
    <w:rsid w:val="00070C44"/>
    <w:rsid w:val="00071F5E"/>
    <w:rsid w:val="000764E4"/>
    <w:rsid w:val="0007780B"/>
    <w:rsid w:val="0008275C"/>
    <w:rsid w:val="00091E81"/>
    <w:rsid w:val="00092100"/>
    <w:rsid w:val="000938CC"/>
    <w:rsid w:val="000A2371"/>
    <w:rsid w:val="000A5992"/>
    <w:rsid w:val="000B545A"/>
    <w:rsid w:val="000C2B4D"/>
    <w:rsid w:val="000C7A3A"/>
    <w:rsid w:val="000D20F6"/>
    <w:rsid w:val="000D608B"/>
    <w:rsid w:val="000E06D5"/>
    <w:rsid w:val="000E4C49"/>
    <w:rsid w:val="000E75B2"/>
    <w:rsid w:val="000F7645"/>
    <w:rsid w:val="00105AC8"/>
    <w:rsid w:val="00110B62"/>
    <w:rsid w:val="00114A4E"/>
    <w:rsid w:val="001223F9"/>
    <w:rsid w:val="00126068"/>
    <w:rsid w:val="001319D8"/>
    <w:rsid w:val="001319F2"/>
    <w:rsid w:val="00133405"/>
    <w:rsid w:val="00133A16"/>
    <w:rsid w:val="00133B76"/>
    <w:rsid w:val="00137973"/>
    <w:rsid w:val="00140AF5"/>
    <w:rsid w:val="001434D7"/>
    <w:rsid w:val="00160FB4"/>
    <w:rsid w:val="00162862"/>
    <w:rsid w:val="001663A1"/>
    <w:rsid w:val="00171EA4"/>
    <w:rsid w:val="00173C8E"/>
    <w:rsid w:val="00190481"/>
    <w:rsid w:val="00190D9A"/>
    <w:rsid w:val="00194F52"/>
    <w:rsid w:val="001A3F85"/>
    <w:rsid w:val="001A555C"/>
    <w:rsid w:val="001A7622"/>
    <w:rsid w:val="001B0332"/>
    <w:rsid w:val="001B206F"/>
    <w:rsid w:val="001B5769"/>
    <w:rsid w:val="001C3BEA"/>
    <w:rsid w:val="001C7438"/>
    <w:rsid w:val="001D0186"/>
    <w:rsid w:val="001D02D3"/>
    <w:rsid w:val="001D17B9"/>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247B0"/>
    <w:rsid w:val="00227882"/>
    <w:rsid w:val="00233005"/>
    <w:rsid w:val="00234537"/>
    <w:rsid w:val="00245447"/>
    <w:rsid w:val="0025446C"/>
    <w:rsid w:val="00256B7C"/>
    <w:rsid w:val="0027324D"/>
    <w:rsid w:val="00274445"/>
    <w:rsid w:val="0027482A"/>
    <w:rsid w:val="002847C3"/>
    <w:rsid w:val="002903E4"/>
    <w:rsid w:val="002A2096"/>
    <w:rsid w:val="002B4A9B"/>
    <w:rsid w:val="002B4CDC"/>
    <w:rsid w:val="002C5016"/>
    <w:rsid w:val="002D235F"/>
    <w:rsid w:val="003000CB"/>
    <w:rsid w:val="00305C45"/>
    <w:rsid w:val="00313C0C"/>
    <w:rsid w:val="00322FF0"/>
    <w:rsid w:val="00332546"/>
    <w:rsid w:val="00334188"/>
    <w:rsid w:val="003406EC"/>
    <w:rsid w:val="003470DE"/>
    <w:rsid w:val="00354B6C"/>
    <w:rsid w:val="0037333C"/>
    <w:rsid w:val="0039172C"/>
    <w:rsid w:val="00396AFC"/>
    <w:rsid w:val="003B0A49"/>
    <w:rsid w:val="003B38D9"/>
    <w:rsid w:val="003D2860"/>
    <w:rsid w:val="003D3796"/>
    <w:rsid w:val="003F0EEA"/>
    <w:rsid w:val="00403236"/>
    <w:rsid w:val="004048DB"/>
    <w:rsid w:val="00417692"/>
    <w:rsid w:val="004215B4"/>
    <w:rsid w:val="00424021"/>
    <w:rsid w:val="0042457E"/>
    <w:rsid w:val="00441BF1"/>
    <w:rsid w:val="004452B5"/>
    <w:rsid w:val="00464E18"/>
    <w:rsid w:val="00465163"/>
    <w:rsid w:val="00496D32"/>
    <w:rsid w:val="004B09F6"/>
    <w:rsid w:val="004B57D3"/>
    <w:rsid w:val="004C1E61"/>
    <w:rsid w:val="004F0123"/>
    <w:rsid w:val="004F6F29"/>
    <w:rsid w:val="004F7C91"/>
    <w:rsid w:val="00500948"/>
    <w:rsid w:val="00514639"/>
    <w:rsid w:val="00517B75"/>
    <w:rsid w:val="005200AF"/>
    <w:rsid w:val="005257BE"/>
    <w:rsid w:val="00532C14"/>
    <w:rsid w:val="00533106"/>
    <w:rsid w:val="00542957"/>
    <w:rsid w:val="00543DC2"/>
    <w:rsid w:val="00551876"/>
    <w:rsid w:val="005551A1"/>
    <w:rsid w:val="005723C6"/>
    <w:rsid w:val="00590C99"/>
    <w:rsid w:val="005A1696"/>
    <w:rsid w:val="005B2C22"/>
    <w:rsid w:val="005B372E"/>
    <w:rsid w:val="005B778B"/>
    <w:rsid w:val="005C17A9"/>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91A9C"/>
    <w:rsid w:val="00696820"/>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25C94"/>
    <w:rsid w:val="007346D9"/>
    <w:rsid w:val="00755D01"/>
    <w:rsid w:val="00786A4C"/>
    <w:rsid w:val="00791F90"/>
    <w:rsid w:val="007C1F42"/>
    <w:rsid w:val="007C318D"/>
    <w:rsid w:val="007C33F2"/>
    <w:rsid w:val="007D3965"/>
    <w:rsid w:val="007D4AD6"/>
    <w:rsid w:val="007D6DD9"/>
    <w:rsid w:val="007E0716"/>
    <w:rsid w:val="007E3F6E"/>
    <w:rsid w:val="007F6A0F"/>
    <w:rsid w:val="00807822"/>
    <w:rsid w:val="00811969"/>
    <w:rsid w:val="00820D35"/>
    <w:rsid w:val="00821175"/>
    <w:rsid w:val="00827709"/>
    <w:rsid w:val="00831E4C"/>
    <w:rsid w:val="00833F20"/>
    <w:rsid w:val="00854689"/>
    <w:rsid w:val="00860AE4"/>
    <w:rsid w:val="00862DA0"/>
    <w:rsid w:val="00863D4A"/>
    <w:rsid w:val="00863DB1"/>
    <w:rsid w:val="008653B0"/>
    <w:rsid w:val="008824C8"/>
    <w:rsid w:val="00887364"/>
    <w:rsid w:val="00890127"/>
    <w:rsid w:val="00895629"/>
    <w:rsid w:val="008970E8"/>
    <w:rsid w:val="00897D64"/>
    <w:rsid w:val="008A055D"/>
    <w:rsid w:val="008A63CE"/>
    <w:rsid w:val="008A6782"/>
    <w:rsid w:val="008A76B3"/>
    <w:rsid w:val="008B1BFD"/>
    <w:rsid w:val="008C07CB"/>
    <w:rsid w:val="008C350D"/>
    <w:rsid w:val="008D1505"/>
    <w:rsid w:val="008D3DA3"/>
    <w:rsid w:val="008E3176"/>
    <w:rsid w:val="008E5150"/>
    <w:rsid w:val="0090247F"/>
    <w:rsid w:val="00911A2D"/>
    <w:rsid w:val="009265AA"/>
    <w:rsid w:val="0096000D"/>
    <w:rsid w:val="00962AD0"/>
    <w:rsid w:val="00962E0A"/>
    <w:rsid w:val="0097036D"/>
    <w:rsid w:val="00970F92"/>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57DA"/>
    <w:rsid w:val="00AD2BDE"/>
    <w:rsid w:val="00AD513A"/>
    <w:rsid w:val="00AF00FC"/>
    <w:rsid w:val="00AF081F"/>
    <w:rsid w:val="00AF60C3"/>
    <w:rsid w:val="00AF7C03"/>
    <w:rsid w:val="00B00389"/>
    <w:rsid w:val="00B02116"/>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C0C23"/>
    <w:rsid w:val="00BC6F0F"/>
    <w:rsid w:val="00BE2998"/>
    <w:rsid w:val="00BE435F"/>
    <w:rsid w:val="00BF060D"/>
    <w:rsid w:val="00BF7D7E"/>
    <w:rsid w:val="00C047E2"/>
    <w:rsid w:val="00C179F6"/>
    <w:rsid w:val="00C30757"/>
    <w:rsid w:val="00C34FB7"/>
    <w:rsid w:val="00C3516F"/>
    <w:rsid w:val="00C5503C"/>
    <w:rsid w:val="00C63664"/>
    <w:rsid w:val="00C6541F"/>
    <w:rsid w:val="00C74202"/>
    <w:rsid w:val="00CA4215"/>
    <w:rsid w:val="00CB078B"/>
    <w:rsid w:val="00CB2F20"/>
    <w:rsid w:val="00CC364B"/>
    <w:rsid w:val="00CD7380"/>
    <w:rsid w:val="00CD7F32"/>
    <w:rsid w:val="00CE0B7A"/>
    <w:rsid w:val="00CE112A"/>
    <w:rsid w:val="00CF7FEF"/>
    <w:rsid w:val="00D038C2"/>
    <w:rsid w:val="00D15116"/>
    <w:rsid w:val="00D20154"/>
    <w:rsid w:val="00D20C3F"/>
    <w:rsid w:val="00D2300F"/>
    <w:rsid w:val="00D37BDC"/>
    <w:rsid w:val="00D40201"/>
    <w:rsid w:val="00D4107A"/>
    <w:rsid w:val="00D41A3B"/>
    <w:rsid w:val="00D50F09"/>
    <w:rsid w:val="00D52307"/>
    <w:rsid w:val="00D70C67"/>
    <w:rsid w:val="00D710E6"/>
    <w:rsid w:val="00D7175F"/>
    <w:rsid w:val="00D71C56"/>
    <w:rsid w:val="00D806D8"/>
    <w:rsid w:val="00D83D74"/>
    <w:rsid w:val="00D92200"/>
    <w:rsid w:val="00D93F25"/>
    <w:rsid w:val="00DA0F42"/>
    <w:rsid w:val="00DA32F3"/>
    <w:rsid w:val="00DA36CE"/>
    <w:rsid w:val="00DA540F"/>
    <w:rsid w:val="00DB15BD"/>
    <w:rsid w:val="00DD0DA0"/>
    <w:rsid w:val="00DD683D"/>
    <w:rsid w:val="00DE2588"/>
    <w:rsid w:val="00DE4DFD"/>
    <w:rsid w:val="00DE5690"/>
    <w:rsid w:val="00DE7F3F"/>
    <w:rsid w:val="00DF1657"/>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C3308"/>
    <w:rsid w:val="00EC3622"/>
    <w:rsid w:val="00ED4544"/>
    <w:rsid w:val="00ED6705"/>
    <w:rsid w:val="00EF2973"/>
    <w:rsid w:val="00EF30B1"/>
    <w:rsid w:val="00EF3916"/>
    <w:rsid w:val="00F10A15"/>
    <w:rsid w:val="00F12475"/>
    <w:rsid w:val="00F26A1D"/>
    <w:rsid w:val="00F35A84"/>
    <w:rsid w:val="00F43812"/>
    <w:rsid w:val="00F47115"/>
    <w:rsid w:val="00F53C0D"/>
    <w:rsid w:val="00F60ADB"/>
    <w:rsid w:val="00F6216F"/>
    <w:rsid w:val="00F63E25"/>
    <w:rsid w:val="00F717B3"/>
    <w:rsid w:val="00F772F4"/>
    <w:rsid w:val="00F77DD1"/>
    <w:rsid w:val="00F804CF"/>
    <w:rsid w:val="00F8281A"/>
    <w:rsid w:val="00F838B3"/>
    <w:rsid w:val="00F84F05"/>
    <w:rsid w:val="00F868C4"/>
    <w:rsid w:val="00F94374"/>
    <w:rsid w:val="00FA2BE6"/>
    <w:rsid w:val="00FB10B7"/>
    <w:rsid w:val="00FC2624"/>
    <w:rsid w:val="00FC571A"/>
    <w:rsid w:val="00FC7163"/>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 w:type="character" w:styleId="Lienhypertexte">
    <w:name w:val="Hyperlink"/>
    <w:basedOn w:val="Policepardfaut"/>
    <w:rsid w:val="003470DE"/>
    <w:rPr>
      <w:color w:val="0000FF"/>
      <w:u w:val="single"/>
    </w:rPr>
  </w:style>
  <w:style w:type="table" w:styleId="Grilledutableau">
    <w:name w:val="Table Grid"/>
    <w:basedOn w:val="TableauNormal"/>
    <w:uiPriority w:val="59"/>
    <w:rsid w:val="0034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 w:type="character" w:styleId="Lienhypertexte">
    <w:name w:val="Hyperlink"/>
    <w:basedOn w:val="Policepardfaut"/>
    <w:rsid w:val="003470DE"/>
    <w:rPr>
      <w:color w:val="0000FF"/>
      <w:u w:val="single"/>
    </w:rPr>
  </w:style>
  <w:style w:type="table" w:styleId="Grilledutableau">
    <w:name w:val="Table Grid"/>
    <w:basedOn w:val="TableauNormal"/>
    <w:uiPriority w:val="59"/>
    <w:rsid w:val="0034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2942</Words>
  <Characters>16182</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CESAMESUP</cp:lastModifiedBy>
  <cp:revision>2</cp:revision>
  <dcterms:created xsi:type="dcterms:W3CDTF">2020-10-06T08:07:00Z</dcterms:created>
  <dcterms:modified xsi:type="dcterms:W3CDTF">2020-10-06T08:07:00Z</dcterms:modified>
</cp:coreProperties>
</file>