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C6" w:rsidRPr="00371D7D" w:rsidRDefault="00DE36C6" w:rsidP="00DE36C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71D7D">
        <w:rPr>
          <w:b/>
          <w:sz w:val="40"/>
          <w:szCs w:val="40"/>
          <w:u w:val="single"/>
        </w:rPr>
        <w:t>LES RESSOURCES D’INVESTISSEMENT</w:t>
      </w:r>
    </w:p>
    <w:p w:rsidR="00926FBA" w:rsidRPr="00CE7003" w:rsidRDefault="00DE36C6" w:rsidP="00926FBA">
      <w:pPr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926FBA" w:rsidRPr="00CE7003">
        <w:rPr>
          <w:b/>
          <w:sz w:val="40"/>
          <w:szCs w:val="40"/>
        </w:rPr>
        <w:t xml:space="preserve">hapitre </w:t>
      </w:r>
      <w:r>
        <w:rPr>
          <w:b/>
          <w:sz w:val="40"/>
          <w:szCs w:val="40"/>
        </w:rPr>
        <w:t>A</w:t>
      </w:r>
      <w:r w:rsidR="00926FBA" w:rsidRPr="00CE7003">
        <w:rPr>
          <w:b/>
          <w:sz w:val="40"/>
          <w:szCs w:val="40"/>
        </w:rPr>
        <w:t xml:space="preserve">/  </w:t>
      </w:r>
      <w:r w:rsidR="00926FBA" w:rsidRPr="00CE7003">
        <w:rPr>
          <w:b/>
          <w:sz w:val="40"/>
          <w:szCs w:val="40"/>
          <w:u w:val="single"/>
        </w:rPr>
        <w:t>Les Ressources Internes d’Investissement</w:t>
      </w:r>
    </w:p>
    <w:p w:rsidR="00926FBA" w:rsidRDefault="00926FBA" w:rsidP="00926FBA">
      <w:pPr>
        <w:rPr>
          <w:sz w:val="28"/>
          <w:szCs w:val="28"/>
        </w:rPr>
      </w:pPr>
      <w:r>
        <w:rPr>
          <w:sz w:val="28"/>
          <w:szCs w:val="28"/>
        </w:rPr>
        <w:t>Avant de se lancer dans le financement d’un projet, le manager doit se demander si son UC est capable de le financer en interne : pour le savoir il doit connaître la structure financière de son unité, donc analyser le bilan fourni par le comptable.</w:t>
      </w:r>
    </w:p>
    <w:p w:rsidR="00926FBA" w:rsidRPr="00A052F0" w:rsidRDefault="00926FBA" w:rsidP="00926FBA">
      <w:pPr>
        <w:rPr>
          <w:b/>
          <w:sz w:val="32"/>
          <w:szCs w:val="32"/>
        </w:rPr>
      </w:pPr>
      <w:r w:rsidRPr="00A052F0">
        <w:rPr>
          <w:b/>
          <w:sz w:val="32"/>
          <w:szCs w:val="32"/>
        </w:rPr>
        <w:t>1</w:t>
      </w:r>
      <w:r w:rsidRPr="00A052F0">
        <w:rPr>
          <w:b/>
          <w:sz w:val="32"/>
          <w:szCs w:val="32"/>
          <w:u w:val="single"/>
        </w:rPr>
        <w:t>/ L’Autofinancement</w:t>
      </w:r>
    </w:p>
    <w:p w:rsidR="00926FBA" w:rsidRDefault="00926FBA" w:rsidP="00926FBA">
      <w:pPr>
        <w:rPr>
          <w:sz w:val="28"/>
          <w:szCs w:val="28"/>
        </w:rPr>
      </w:pPr>
      <w:r>
        <w:rPr>
          <w:sz w:val="28"/>
          <w:szCs w:val="28"/>
        </w:rPr>
        <w:t>A l’issue d’un exercice comptable, le surplus monétaire qui peut rester à la disposition de l’entreprise représente sa capacité d’autofinancement.</w:t>
      </w:r>
    </w:p>
    <w:p w:rsidR="00926FBA" w:rsidRDefault="00926FBA" w:rsidP="00926FBA">
      <w:pPr>
        <w:rPr>
          <w:sz w:val="28"/>
          <w:szCs w:val="28"/>
        </w:rPr>
      </w:pPr>
      <w:r>
        <w:rPr>
          <w:sz w:val="28"/>
          <w:szCs w:val="28"/>
        </w:rPr>
        <w:t>Calcul de l’autofinancement :</w:t>
      </w:r>
    </w:p>
    <w:p w:rsidR="00926FBA" w:rsidRDefault="00926FBA" w:rsidP="00126647">
      <w:pPr>
        <w:pStyle w:val="Paragraphedeliste"/>
        <w:numPr>
          <w:ilvl w:val="0"/>
          <w:numId w:val="9"/>
        </w:numPr>
        <w:rPr>
          <w:b/>
          <w:sz w:val="28"/>
          <w:szCs w:val="28"/>
        </w:rPr>
      </w:pPr>
      <w:r w:rsidRPr="001E38A2">
        <w:rPr>
          <w:b/>
          <w:sz w:val="28"/>
          <w:szCs w:val="28"/>
          <w:u w:val="single"/>
        </w:rPr>
        <w:t>Capacité d’Autofinancement</w:t>
      </w:r>
      <w:r w:rsidRPr="001E38A2">
        <w:rPr>
          <w:b/>
          <w:sz w:val="28"/>
          <w:szCs w:val="28"/>
        </w:rPr>
        <w:t xml:space="preserve"> (CAF)  = Résultat net + </w:t>
      </w:r>
      <w:r w:rsidRPr="001E38A2">
        <w:rPr>
          <w:sz w:val="28"/>
          <w:szCs w:val="28"/>
        </w:rPr>
        <w:t>Dotations aux amortissements et provisions – Reprises sur  amortissements et provisions</w:t>
      </w:r>
      <w:r w:rsidRPr="001E38A2">
        <w:rPr>
          <w:b/>
          <w:sz w:val="28"/>
          <w:szCs w:val="28"/>
        </w:rPr>
        <w:t xml:space="preserve"> </w:t>
      </w:r>
    </w:p>
    <w:p w:rsidR="00A052F0" w:rsidRPr="00A052F0" w:rsidRDefault="00A052F0" w:rsidP="00A052F0">
      <w:pPr>
        <w:pStyle w:val="Paragraphedeliste"/>
        <w:rPr>
          <w:b/>
          <w:sz w:val="16"/>
          <w:szCs w:val="16"/>
        </w:rPr>
      </w:pPr>
    </w:p>
    <w:p w:rsidR="00926FBA" w:rsidRPr="001E38A2" w:rsidRDefault="00926FBA" w:rsidP="00126647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1E38A2">
        <w:rPr>
          <w:b/>
          <w:sz w:val="28"/>
          <w:szCs w:val="28"/>
          <w:u w:val="single"/>
        </w:rPr>
        <w:t xml:space="preserve">Autofinancement </w:t>
      </w:r>
      <w:r w:rsidRPr="00A052F0">
        <w:rPr>
          <w:b/>
          <w:sz w:val="40"/>
          <w:szCs w:val="40"/>
          <w:u w:val="single"/>
        </w:rPr>
        <w:t>net</w:t>
      </w:r>
      <w:r w:rsidRPr="001E38A2">
        <w:rPr>
          <w:b/>
          <w:sz w:val="28"/>
          <w:szCs w:val="28"/>
          <w:u w:val="single"/>
        </w:rPr>
        <w:t xml:space="preserve"> </w:t>
      </w:r>
      <w:r w:rsidRPr="00924279">
        <w:rPr>
          <w:b/>
          <w:sz w:val="28"/>
          <w:szCs w:val="28"/>
        </w:rPr>
        <w:t xml:space="preserve">= </w:t>
      </w:r>
      <w:r w:rsidR="00924279" w:rsidRPr="00924279">
        <w:rPr>
          <w:b/>
          <w:sz w:val="28"/>
          <w:szCs w:val="28"/>
        </w:rPr>
        <w:t xml:space="preserve"> </w:t>
      </w:r>
      <w:r w:rsidR="00924279">
        <w:rPr>
          <w:b/>
          <w:sz w:val="28"/>
          <w:szCs w:val="28"/>
        </w:rPr>
        <w:t>(</w:t>
      </w:r>
      <w:r w:rsidRPr="001E38A2">
        <w:rPr>
          <w:b/>
          <w:sz w:val="28"/>
          <w:szCs w:val="28"/>
        </w:rPr>
        <w:t>CAF</w:t>
      </w:r>
      <w:r w:rsidR="00924279">
        <w:rPr>
          <w:b/>
          <w:sz w:val="28"/>
          <w:szCs w:val="28"/>
        </w:rPr>
        <w:t>)</w:t>
      </w:r>
      <w:r w:rsidRPr="001E38A2">
        <w:rPr>
          <w:b/>
          <w:sz w:val="28"/>
          <w:szCs w:val="28"/>
        </w:rPr>
        <w:t xml:space="preserve"> </w:t>
      </w:r>
      <w:r w:rsidRPr="001E38A2">
        <w:rPr>
          <w:sz w:val="28"/>
          <w:szCs w:val="28"/>
        </w:rPr>
        <w:t xml:space="preserve">– </w:t>
      </w:r>
      <w:r w:rsidRPr="00A052F0">
        <w:rPr>
          <w:sz w:val="28"/>
          <w:szCs w:val="28"/>
          <w:u w:val="single"/>
        </w:rPr>
        <w:t>bénéfice distribué aux associés</w:t>
      </w:r>
    </w:p>
    <w:p w:rsidR="00926FBA" w:rsidRPr="00A052F0" w:rsidRDefault="00926FBA" w:rsidP="00A052F0">
      <w:pPr>
        <w:rPr>
          <w:i/>
          <w:sz w:val="28"/>
          <w:szCs w:val="28"/>
          <w:u w:val="single"/>
        </w:rPr>
      </w:pPr>
      <w:r w:rsidRPr="00A052F0">
        <w:rPr>
          <w:i/>
          <w:sz w:val="28"/>
          <w:szCs w:val="28"/>
          <w:u w:val="single"/>
        </w:rPr>
        <w:t>Importance de la capacité d’autofinancement</w:t>
      </w:r>
    </w:p>
    <w:p w:rsidR="00926FBA" w:rsidRPr="00A052F0" w:rsidRDefault="00926FBA" w:rsidP="00926FBA">
      <w:pPr>
        <w:rPr>
          <w:i/>
          <w:sz w:val="28"/>
          <w:szCs w:val="28"/>
        </w:rPr>
      </w:pPr>
      <w:r w:rsidRPr="00A052F0">
        <w:rPr>
          <w:i/>
          <w:sz w:val="28"/>
          <w:szCs w:val="28"/>
        </w:rPr>
        <w:t>La CAF permet de juger la capacité de l’UC à générer par son activité des surplus monétaires ; à financer ses investissements par sa propre rentabilité. C’est un indicateur de la capacité de remboursement des emprunts, auquel le prêteur attache une attention particulière.</w:t>
      </w:r>
    </w:p>
    <w:p w:rsidR="00926FBA" w:rsidRPr="00A052F0" w:rsidRDefault="00926FBA" w:rsidP="00926FBA">
      <w:pPr>
        <w:rPr>
          <w:b/>
          <w:sz w:val="32"/>
          <w:szCs w:val="32"/>
          <w:u w:val="single"/>
        </w:rPr>
      </w:pPr>
      <w:r w:rsidRPr="00A052F0">
        <w:rPr>
          <w:b/>
          <w:sz w:val="32"/>
          <w:szCs w:val="32"/>
        </w:rPr>
        <w:t>2</w:t>
      </w:r>
      <w:r w:rsidRPr="00A052F0">
        <w:rPr>
          <w:b/>
          <w:sz w:val="32"/>
          <w:szCs w:val="32"/>
          <w:u w:val="single"/>
        </w:rPr>
        <w:t>/ Les augmentations de Capital</w:t>
      </w:r>
    </w:p>
    <w:p w:rsidR="0037183B" w:rsidRDefault="00926FBA" w:rsidP="00926FBA">
      <w:pPr>
        <w:rPr>
          <w:sz w:val="28"/>
          <w:szCs w:val="28"/>
        </w:rPr>
      </w:pPr>
      <w:r w:rsidRPr="00802D9F">
        <w:rPr>
          <w:sz w:val="28"/>
          <w:szCs w:val="28"/>
        </w:rPr>
        <w:t xml:space="preserve">Pour financer la politique d’investissement, on peut faire appel aux associés actuels pour réaliser un apport en capital ou solliciter l’apport </w:t>
      </w:r>
      <w:r w:rsidR="0037183B">
        <w:rPr>
          <w:sz w:val="28"/>
          <w:szCs w:val="28"/>
        </w:rPr>
        <w:t>en capital de nouveaux associés :</w:t>
      </w:r>
    </w:p>
    <w:p w:rsidR="00926FBA" w:rsidRPr="0037183B" w:rsidRDefault="00120E44" w:rsidP="00126647">
      <w:pPr>
        <w:pStyle w:val="Paragraphedeliste"/>
        <w:numPr>
          <w:ilvl w:val="0"/>
          <w:numId w:val="31"/>
        </w:numPr>
        <w:rPr>
          <w:sz w:val="28"/>
          <w:szCs w:val="28"/>
        </w:rPr>
      </w:pPr>
      <w:r w:rsidRPr="0037183B">
        <w:rPr>
          <w:sz w:val="28"/>
          <w:szCs w:val="28"/>
        </w:rPr>
        <w:t>Les réserves peuvent être incorporées et sont transformées en actions.</w:t>
      </w:r>
    </w:p>
    <w:p w:rsidR="00120E44" w:rsidRPr="0037183B" w:rsidRDefault="00120E44" w:rsidP="00126647">
      <w:pPr>
        <w:pStyle w:val="Paragraphedeliste"/>
        <w:numPr>
          <w:ilvl w:val="0"/>
          <w:numId w:val="31"/>
        </w:numPr>
        <w:rPr>
          <w:sz w:val="28"/>
          <w:szCs w:val="28"/>
        </w:rPr>
      </w:pPr>
      <w:r w:rsidRPr="0037183B">
        <w:rPr>
          <w:sz w:val="28"/>
          <w:szCs w:val="28"/>
        </w:rPr>
        <w:t>Apport en numéraire (émission de nouvelles actions en contrepartie de liquidités mises à la disposition de l’entreprise</w:t>
      </w:r>
    </w:p>
    <w:p w:rsidR="0037183B" w:rsidRDefault="0037183B" w:rsidP="00126647">
      <w:pPr>
        <w:pStyle w:val="Paragraphedeliste"/>
        <w:numPr>
          <w:ilvl w:val="0"/>
          <w:numId w:val="31"/>
        </w:numPr>
        <w:rPr>
          <w:sz w:val="28"/>
          <w:szCs w:val="28"/>
        </w:rPr>
      </w:pPr>
      <w:r w:rsidRPr="0037183B">
        <w:rPr>
          <w:sz w:val="28"/>
          <w:szCs w:val="28"/>
        </w:rPr>
        <w:t>Apport en nature (émission de nouvelles actions en contrepartie d’actifs mise à la disposition de l’entreprise</w:t>
      </w:r>
      <w:r>
        <w:rPr>
          <w:sz w:val="28"/>
          <w:szCs w:val="28"/>
        </w:rPr>
        <w:t>).</w:t>
      </w:r>
    </w:p>
    <w:p w:rsidR="00926FBA" w:rsidRPr="00A052F0" w:rsidRDefault="00926FBA" w:rsidP="00926FBA">
      <w:pPr>
        <w:rPr>
          <w:b/>
          <w:sz w:val="32"/>
          <w:szCs w:val="32"/>
          <w:u w:val="single"/>
        </w:rPr>
      </w:pPr>
      <w:r w:rsidRPr="00A052F0">
        <w:rPr>
          <w:b/>
          <w:sz w:val="32"/>
          <w:szCs w:val="32"/>
        </w:rPr>
        <w:t>3</w:t>
      </w:r>
      <w:r w:rsidRPr="00A052F0">
        <w:rPr>
          <w:b/>
          <w:sz w:val="32"/>
          <w:szCs w:val="32"/>
          <w:u w:val="single"/>
        </w:rPr>
        <w:t>/ Les cessions d’éléments d’actif</w:t>
      </w:r>
    </w:p>
    <w:p w:rsidR="00926FBA" w:rsidRPr="00224C9A" w:rsidRDefault="00926FBA" w:rsidP="00926F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24C9A">
        <w:rPr>
          <w:sz w:val="28"/>
          <w:szCs w:val="28"/>
          <w:u w:val="single"/>
        </w:rPr>
        <w:t>La vente des immobilisations anciennes</w:t>
      </w:r>
      <w:r w:rsidRPr="00224C9A">
        <w:rPr>
          <w:sz w:val="28"/>
          <w:szCs w:val="28"/>
        </w:rPr>
        <w:t xml:space="preserve"> permet de financer une partie de l’investissement </w:t>
      </w:r>
    </w:p>
    <w:p w:rsidR="00926FBA" w:rsidRPr="00224C9A" w:rsidRDefault="00926FBA" w:rsidP="00926F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24C9A">
        <w:rPr>
          <w:sz w:val="28"/>
          <w:szCs w:val="28"/>
          <w:u w:val="single"/>
        </w:rPr>
        <w:lastRenderedPageBreak/>
        <w:t>La cession de titres</w:t>
      </w:r>
      <w:r w:rsidRPr="00224C9A">
        <w:rPr>
          <w:sz w:val="28"/>
          <w:szCs w:val="28"/>
        </w:rPr>
        <w:t xml:space="preserve"> qui apparaissent dans l’actif du bilan dans les rubriques « Immobilisations financières » et « valeurs mobilières de placement » permet de dégager des moyens de financement des investissements.</w:t>
      </w:r>
    </w:p>
    <w:p w:rsidR="00120E44" w:rsidRDefault="00120E44" w:rsidP="00DE36C6">
      <w:pPr>
        <w:rPr>
          <w:b/>
          <w:sz w:val="24"/>
          <w:szCs w:val="24"/>
          <w:u w:val="single"/>
        </w:rPr>
      </w:pPr>
    </w:p>
    <w:p w:rsidR="00120E44" w:rsidRPr="00CE7003" w:rsidRDefault="00120E44" w:rsidP="00120E44">
      <w:pPr>
        <w:rPr>
          <w:b/>
          <w:sz w:val="40"/>
          <w:szCs w:val="40"/>
        </w:rPr>
      </w:pPr>
      <w:r w:rsidRPr="00CE7003">
        <w:rPr>
          <w:b/>
          <w:sz w:val="40"/>
          <w:szCs w:val="40"/>
        </w:rPr>
        <w:t xml:space="preserve">Chapitre </w:t>
      </w:r>
      <w:r w:rsidR="00DE36C6">
        <w:rPr>
          <w:b/>
          <w:sz w:val="40"/>
          <w:szCs w:val="40"/>
        </w:rPr>
        <w:t>B</w:t>
      </w:r>
      <w:r w:rsidRPr="00CE7003">
        <w:rPr>
          <w:b/>
          <w:sz w:val="40"/>
          <w:szCs w:val="40"/>
        </w:rPr>
        <w:t xml:space="preserve">/  </w:t>
      </w:r>
      <w:r w:rsidRPr="00CE7003">
        <w:rPr>
          <w:b/>
          <w:sz w:val="40"/>
          <w:szCs w:val="40"/>
          <w:u w:val="single"/>
        </w:rPr>
        <w:t>Les Ressources Externes d’Investissement</w:t>
      </w:r>
    </w:p>
    <w:p w:rsidR="00120E44" w:rsidRDefault="00120E44" w:rsidP="0037183B">
      <w:pPr>
        <w:jc w:val="both"/>
        <w:rPr>
          <w:sz w:val="28"/>
          <w:szCs w:val="28"/>
        </w:rPr>
      </w:pPr>
      <w:r w:rsidRPr="0037183B">
        <w:rPr>
          <w:sz w:val="28"/>
          <w:szCs w:val="28"/>
        </w:rPr>
        <w:t>Assez</w:t>
      </w:r>
      <w:r w:rsidR="0037183B" w:rsidRPr="0037183B">
        <w:rPr>
          <w:sz w:val="28"/>
          <w:szCs w:val="28"/>
        </w:rPr>
        <w:t xml:space="preserve"> restreint en pratique, le financement interne sert essentiellement à financer le remplacement des investissements</w:t>
      </w:r>
      <w:r w:rsidR="0037183B">
        <w:rPr>
          <w:sz w:val="28"/>
          <w:szCs w:val="28"/>
        </w:rPr>
        <w:t xml:space="preserve"> existants ; il est donc indispensable de se tourner vers des sources externes, notamment en cas de croissance externe de l’entreprise</w:t>
      </w:r>
    </w:p>
    <w:p w:rsidR="0037183B" w:rsidRPr="00CE7003" w:rsidRDefault="0037183B" w:rsidP="0037183B">
      <w:pPr>
        <w:jc w:val="both"/>
        <w:rPr>
          <w:b/>
          <w:sz w:val="36"/>
          <w:szCs w:val="36"/>
        </w:rPr>
      </w:pPr>
      <w:r w:rsidRPr="00CE7003">
        <w:rPr>
          <w:b/>
          <w:sz w:val="36"/>
          <w:szCs w:val="36"/>
        </w:rPr>
        <w:t xml:space="preserve">1/ </w:t>
      </w:r>
      <w:r w:rsidRPr="00CE7003">
        <w:rPr>
          <w:b/>
          <w:sz w:val="36"/>
          <w:szCs w:val="36"/>
          <w:u w:val="single"/>
        </w:rPr>
        <w:t>Le Financement par l’Emprunt</w:t>
      </w:r>
    </w:p>
    <w:p w:rsidR="00120E44" w:rsidRPr="0037183B" w:rsidRDefault="0037183B" w:rsidP="00126647">
      <w:pPr>
        <w:pStyle w:val="Paragraphedeliste"/>
        <w:numPr>
          <w:ilvl w:val="0"/>
          <w:numId w:val="3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 principes de financement par emprunt</w:t>
      </w:r>
    </w:p>
    <w:p w:rsidR="00120E44" w:rsidRDefault="00BF65B5" w:rsidP="00B6691C">
      <w:pPr>
        <w:rPr>
          <w:sz w:val="28"/>
          <w:szCs w:val="28"/>
        </w:rPr>
      </w:pPr>
      <w:r w:rsidRPr="00BF65B5">
        <w:rPr>
          <w:sz w:val="28"/>
          <w:szCs w:val="28"/>
        </w:rPr>
        <w:t>L</w:t>
      </w:r>
      <w:r>
        <w:rPr>
          <w:sz w:val="28"/>
          <w:szCs w:val="28"/>
        </w:rPr>
        <w:t>’entreprise s’adresse à une ou plusieurs banques pour obtenir les sommes dont elle a besoin pour financer l’acquisition d’une immobilisation.</w:t>
      </w:r>
    </w:p>
    <w:p w:rsidR="00FA75CC" w:rsidRPr="00CE7003" w:rsidRDefault="00FA75CC" w:rsidP="00B6691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L’établissement financier met à disposition de l’emprunteur la somme empruntée afin qu’il puisse payer son fournisseur. Le montant emprunté est appelé </w:t>
      </w:r>
      <w:r w:rsidRPr="00CE7003">
        <w:rPr>
          <w:sz w:val="28"/>
          <w:szCs w:val="28"/>
          <w:u w:val="single"/>
        </w:rPr>
        <w:t>nominal de l’emprunt.</w:t>
      </w:r>
    </w:p>
    <w:p w:rsidR="00FA75CC" w:rsidRDefault="00FA75CC" w:rsidP="00B6691C">
      <w:pPr>
        <w:rPr>
          <w:sz w:val="28"/>
          <w:szCs w:val="28"/>
        </w:rPr>
      </w:pPr>
      <w:r>
        <w:rPr>
          <w:sz w:val="28"/>
          <w:szCs w:val="28"/>
        </w:rPr>
        <w:t>L’emprunteur rembourse l’emprunt selon le plan de remboursement négocié avec le prêteur. Chaque année  (ou chaque semestre, trimestre, mois) il verser</w:t>
      </w:r>
      <w:r w:rsidR="00753124">
        <w:rPr>
          <w:sz w:val="28"/>
          <w:szCs w:val="28"/>
        </w:rPr>
        <w:t>A</w:t>
      </w:r>
      <w:r>
        <w:rPr>
          <w:sz w:val="28"/>
          <w:szCs w:val="28"/>
        </w:rPr>
        <w:t xml:space="preserve"> une somme appelé </w:t>
      </w:r>
      <w:r w:rsidRPr="00CE7003">
        <w:rPr>
          <w:sz w:val="28"/>
          <w:szCs w:val="28"/>
          <w:u w:val="single"/>
        </w:rPr>
        <w:t>annuité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4463B9">
        <w:rPr>
          <w:sz w:val="28"/>
          <w:szCs w:val="28"/>
        </w:rPr>
        <w:t>o</w:t>
      </w:r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 xml:space="preserve"> semestrialité, trimestrialité</w:t>
      </w:r>
      <w:r w:rsidR="004463B9">
        <w:rPr>
          <w:sz w:val="28"/>
          <w:szCs w:val="28"/>
        </w:rPr>
        <w:t xml:space="preserve"> ou mensualité) qui comprendra ;</w:t>
      </w:r>
    </w:p>
    <w:p w:rsidR="004463B9" w:rsidRPr="00CE7003" w:rsidRDefault="004463B9" w:rsidP="00126647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CE7003">
        <w:rPr>
          <w:sz w:val="28"/>
          <w:szCs w:val="28"/>
        </w:rPr>
        <w:t xml:space="preserve">Le </w:t>
      </w:r>
      <w:r w:rsidRPr="00CE7003">
        <w:rPr>
          <w:sz w:val="28"/>
          <w:szCs w:val="28"/>
          <w:u w:val="single"/>
        </w:rPr>
        <w:t>remboursement d’une partie du capital emprunté</w:t>
      </w:r>
      <w:r w:rsidRPr="00CE7003">
        <w:rPr>
          <w:sz w:val="28"/>
          <w:szCs w:val="28"/>
        </w:rPr>
        <w:t>, qu’on appelle amortissement de l’emprunt</w:t>
      </w:r>
    </w:p>
    <w:p w:rsidR="004463B9" w:rsidRDefault="004463B9" w:rsidP="00126647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CE7003">
        <w:rPr>
          <w:sz w:val="28"/>
          <w:szCs w:val="28"/>
          <w:u w:val="single"/>
        </w:rPr>
        <w:t>L’intérêt</w:t>
      </w:r>
      <w:r w:rsidRPr="00CE7003">
        <w:rPr>
          <w:sz w:val="28"/>
          <w:szCs w:val="28"/>
        </w:rPr>
        <w:t>, rémunération du prêt, calculé sur le montant à rembourser en lui appliquant le taux d’intérêt négocié auprès de la banque</w:t>
      </w:r>
      <w:r w:rsidR="00CE7003">
        <w:rPr>
          <w:sz w:val="28"/>
          <w:szCs w:val="28"/>
        </w:rPr>
        <w:t> :</w:t>
      </w:r>
    </w:p>
    <w:p w:rsidR="004463B9" w:rsidRPr="00CE7003" w:rsidRDefault="004463B9" w:rsidP="00CE7003">
      <w:pPr>
        <w:rPr>
          <w:sz w:val="28"/>
          <w:szCs w:val="28"/>
        </w:rPr>
      </w:pPr>
      <w:r w:rsidRPr="00CE7003">
        <w:rPr>
          <w:sz w:val="28"/>
          <w:szCs w:val="28"/>
        </w:rPr>
        <w:t xml:space="preserve">En plus de </w:t>
      </w:r>
      <w:proofErr w:type="gramStart"/>
      <w:r w:rsidRPr="00CE7003">
        <w:rPr>
          <w:sz w:val="28"/>
          <w:szCs w:val="28"/>
        </w:rPr>
        <w:t>l’anuité</w:t>
      </w:r>
      <w:proofErr w:type="gramEnd"/>
      <w:r w:rsidRPr="00CE7003">
        <w:rPr>
          <w:sz w:val="28"/>
          <w:szCs w:val="28"/>
        </w:rPr>
        <w:t>, l’emprunteur peut supporter des frais supplémentaires :</w:t>
      </w:r>
    </w:p>
    <w:p w:rsidR="00CE7003" w:rsidRPr="00CE7003" w:rsidRDefault="004463B9" w:rsidP="00126647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CE7003">
        <w:rPr>
          <w:sz w:val="28"/>
          <w:szCs w:val="28"/>
          <w:u w:val="single"/>
        </w:rPr>
        <w:t>Des frais de dossier</w:t>
      </w:r>
      <w:r w:rsidRPr="00CE7003">
        <w:rPr>
          <w:sz w:val="28"/>
          <w:szCs w:val="28"/>
        </w:rPr>
        <w:t>, dû en général à la souscription de l’emprunt</w:t>
      </w:r>
    </w:p>
    <w:p w:rsidR="004463B9" w:rsidRDefault="004463B9" w:rsidP="00126647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CE7003">
        <w:rPr>
          <w:sz w:val="28"/>
          <w:szCs w:val="28"/>
          <w:u w:val="single"/>
        </w:rPr>
        <w:t>Des frais d’assurance</w:t>
      </w:r>
      <w:r w:rsidRPr="00CE7003">
        <w:rPr>
          <w:sz w:val="28"/>
          <w:szCs w:val="28"/>
        </w:rPr>
        <w:t>, calculé sur le montant emprunté</w:t>
      </w:r>
    </w:p>
    <w:p w:rsidR="00CE7003" w:rsidRPr="00CE7003" w:rsidRDefault="00CE7003" w:rsidP="00CE7003">
      <w:pPr>
        <w:pStyle w:val="Paragraphedeliste"/>
        <w:ind w:left="360"/>
        <w:rPr>
          <w:sz w:val="16"/>
          <w:szCs w:val="16"/>
        </w:rPr>
      </w:pPr>
    </w:p>
    <w:p w:rsidR="004463B9" w:rsidRPr="00C664C7" w:rsidRDefault="00174D20" w:rsidP="00126647">
      <w:pPr>
        <w:pStyle w:val="Paragraphedeliste"/>
        <w:numPr>
          <w:ilvl w:val="0"/>
          <w:numId w:val="33"/>
        </w:numPr>
        <w:rPr>
          <w:sz w:val="28"/>
          <w:szCs w:val="28"/>
        </w:rPr>
      </w:pPr>
      <w:r w:rsidRPr="00C664C7">
        <w:rPr>
          <w:sz w:val="28"/>
          <w:szCs w:val="28"/>
        </w:rPr>
        <w:t>V° = Montant emprunté  (valeur actuelle de l’emprunt)</w:t>
      </w:r>
    </w:p>
    <w:p w:rsidR="00174D20" w:rsidRPr="00C664C7" w:rsidRDefault="00174D20" w:rsidP="00126647">
      <w:pPr>
        <w:pStyle w:val="Paragraphedeliste"/>
        <w:numPr>
          <w:ilvl w:val="0"/>
          <w:numId w:val="33"/>
        </w:numPr>
        <w:rPr>
          <w:sz w:val="28"/>
          <w:szCs w:val="28"/>
        </w:rPr>
      </w:pPr>
      <w:r w:rsidRPr="00C664C7">
        <w:rPr>
          <w:sz w:val="28"/>
          <w:szCs w:val="28"/>
        </w:rPr>
        <w:t>I  = Taux d’intérêt de l’emprunt</w:t>
      </w:r>
    </w:p>
    <w:p w:rsidR="00174D20" w:rsidRPr="00C664C7" w:rsidRDefault="00174D20" w:rsidP="00126647">
      <w:pPr>
        <w:pStyle w:val="Paragraphedeliste"/>
        <w:numPr>
          <w:ilvl w:val="0"/>
          <w:numId w:val="33"/>
        </w:numPr>
        <w:rPr>
          <w:sz w:val="28"/>
          <w:szCs w:val="28"/>
        </w:rPr>
      </w:pPr>
      <w:r w:rsidRPr="00C664C7">
        <w:rPr>
          <w:sz w:val="28"/>
          <w:szCs w:val="28"/>
        </w:rPr>
        <w:t>n = nombre de périodes de remboursement</w:t>
      </w:r>
    </w:p>
    <w:p w:rsidR="00174D20" w:rsidRDefault="00174D20" w:rsidP="00126647">
      <w:pPr>
        <w:pStyle w:val="Paragraphedeliste"/>
        <w:numPr>
          <w:ilvl w:val="0"/>
          <w:numId w:val="33"/>
        </w:numPr>
        <w:rPr>
          <w:sz w:val="28"/>
          <w:szCs w:val="28"/>
        </w:rPr>
      </w:pPr>
      <w:r w:rsidRPr="00C664C7">
        <w:rPr>
          <w:sz w:val="28"/>
          <w:szCs w:val="28"/>
        </w:rPr>
        <w:t>a = montant de l’annuité (</w:t>
      </w:r>
      <w:r w:rsidR="00C664C7" w:rsidRPr="00C664C7">
        <w:rPr>
          <w:sz w:val="28"/>
          <w:szCs w:val="28"/>
        </w:rPr>
        <w:t>ou semestrialité, trimestrialité ou mensualité)</w:t>
      </w:r>
    </w:p>
    <w:p w:rsidR="00C664C7" w:rsidRPr="00C664C7" w:rsidRDefault="00C664C7" w:rsidP="00C664C7">
      <w:pPr>
        <w:pStyle w:val="Paragraphedeliste"/>
        <w:rPr>
          <w:sz w:val="28"/>
          <w:szCs w:val="28"/>
        </w:rPr>
      </w:pPr>
    </w:p>
    <w:p w:rsidR="005F2500" w:rsidRDefault="005F2500" w:rsidP="005F2500">
      <w:pPr>
        <w:pStyle w:val="Paragraphedeliste"/>
        <w:rPr>
          <w:b/>
          <w:sz w:val="32"/>
          <w:szCs w:val="32"/>
          <w:u w:val="single"/>
        </w:rPr>
      </w:pPr>
    </w:p>
    <w:p w:rsidR="005F2500" w:rsidRDefault="005F2500" w:rsidP="005F2500">
      <w:pPr>
        <w:pStyle w:val="Paragraphedeliste"/>
        <w:rPr>
          <w:b/>
          <w:sz w:val="32"/>
          <w:szCs w:val="32"/>
          <w:u w:val="single"/>
        </w:rPr>
      </w:pPr>
    </w:p>
    <w:p w:rsidR="005F2500" w:rsidRDefault="005F2500" w:rsidP="005F2500">
      <w:pPr>
        <w:pStyle w:val="Paragraphedeliste"/>
        <w:rPr>
          <w:b/>
          <w:sz w:val="32"/>
          <w:szCs w:val="32"/>
          <w:u w:val="single"/>
        </w:rPr>
      </w:pPr>
    </w:p>
    <w:p w:rsidR="00CE7003" w:rsidRDefault="00CE7003" w:rsidP="005F2500">
      <w:pPr>
        <w:pStyle w:val="Paragraphedeliste"/>
        <w:rPr>
          <w:b/>
          <w:sz w:val="32"/>
          <w:szCs w:val="32"/>
          <w:u w:val="single"/>
        </w:rPr>
      </w:pPr>
    </w:p>
    <w:p w:rsidR="00CE7003" w:rsidRDefault="00CE7003" w:rsidP="005F2500">
      <w:pPr>
        <w:pStyle w:val="Paragraphedeliste"/>
        <w:rPr>
          <w:b/>
          <w:sz w:val="32"/>
          <w:szCs w:val="32"/>
          <w:u w:val="single"/>
        </w:rPr>
      </w:pPr>
    </w:p>
    <w:p w:rsidR="00CE7003" w:rsidRDefault="00CE7003" w:rsidP="005F2500">
      <w:pPr>
        <w:pStyle w:val="Paragraphedeliste"/>
        <w:rPr>
          <w:b/>
          <w:sz w:val="32"/>
          <w:szCs w:val="32"/>
          <w:u w:val="single"/>
        </w:rPr>
      </w:pPr>
    </w:p>
    <w:p w:rsidR="005F2500" w:rsidRDefault="005F2500" w:rsidP="005F2500">
      <w:pPr>
        <w:pStyle w:val="Paragraphedeliste"/>
        <w:rPr>
          <w:b/>
          <w:sz w:val="32"/>
          <w:szCs w:val="32"/>
          <w:u w:val="single"/>
        </w:rPr>
      </w:pPr>
    </w:p>
    <w:p w:rsidR="00120E44" w:rsidRPr="005F2500" w:rsidRDefault="007E0D12" w:rsidP="00126647">
      <w:pPr>
        <w:pStyle w:val="Paragraphedeliste"/>
        <w:numPr>
          <w:ilvl w:val="0"/>
          <w:numId w:val="32"/>
        </w:numPr>
        <w:rPr>
          <w:b/>
          <w:sz w:val="24"/>
          <w:szCs w:val="24"/>
          <w:u w:val="single"/>
        </w:rPr>
      </w:pPr>
      <w:r w:rsidRPr="005F2500">
        <w:rPr>
          <w:b/>
          <w:sz w:val="32"/>
          <w:szCs w:val="32"/>
          <w:u w:val="single"/>
        </w:rPr>
        <w:t>Le calcul du remboursement par amortissement constant</w:t>
      </w:r>
    </w:p>
    <w:p w:rsidR="00120E44" w:rsidRPr="00C664C7" w:rsidRDefault="00C664C7" w:rsidP="00B6691C">
      <w:pPr>
        <w:rPr>
          <w:sz w:val="28"/>
          <w:szCs w:val="28"/>
        </w:rPr>
      </w:pPr>
      <w:r w:rsidRPr="00C664C7">
        <w:rPr>
          <w:b/>
          <w:sz w:val="28"/>
          <w:szCs w:val="28"/>
          <w:u w:val="single"/>
        </w:rPr>
        <w:t>Principe</w:t>
      </w:r>
      <w:r>
        <w:rPr>
          <w:b/>
          <w:sz w:val="28"/>
          <w:szCs w:val="28"/>
          <w:u w:val="single"/>
        </w:rPr>
        <w:t> </w:t>
      </w:r>
      <w:proofErr w:type="gramStart"/>
      <w:r>
        <w:rPr>
          <w:b/>
          <w:sz w:val="28"/>
          <w:szCs w:val="28"/>
          <w:u w:val="single"/>
        </w:rPr>
        <w:t xml:space="preserve">:  </w:t>
      </w:r>
      <w:r w:rsidRPr="00C664C7">
        <w:rPr>
          <w:sz w:val="28"/>
          <w:szCs w:val="28"/>
        </w:rPr>
        <w:t>à</w:t>
      </w:r>
      <w:proofErr w:type="gramEnd"/>
      <w:r w:rsidRPr="00C664C7">
        <w:rPr>
          <w:sz w:val="28"/>
          <w:szCs w:val="28"/>
        </w:rPr>
        <w:t xml:space="preserve"> chaque échéance le même montant emprunté est amorti</w:t>
      </w:r>
      <w:r>
        <w:rPr>
          <w:sz w:val="28"/>
          <w:szCs w:val="28"/>
        </w:rPr>
        <w:t xml:space="preserve"> d’où le terme d’amortissement constant. Les montants sont décroissants car calculés sur le capital restant dû. Les annuités sont donc décroissantes. </w:t>
      </w:r>
    </w:p>
    <w:p w:rsidR="007E0D12" w:rsidRPr="007E0D12" w:rsidRDefault="007E0D12" w:rsidP="00B6691C">
      <w:pPr>
        <w:rPr>
          <w:b/>
          <w:sz w:val="28"/>
          <w:szCs w:val="28"/>
          <w:u w:val="single"/>
        </w:rPr>
      </w:pPr>
      <w:r w:rsidRPr="007E0D12">
        <w:rPr>
          <w:b/>
          <w:sz w:val="28"/>
          <w:szCs w:val="28"/>
          <w:u w:val="single"/>
        </w:rPr>
        <w:t>Exemple :</w:t>
      </w:r>
    </w:p>
    <w:p w:rsidR="007E0D12" w:rsidRPr="007E0D12" w:rsidRDefault="007E0D12" w:rsidP="00B6691C">
      <w:pPr>
        <w:rPr>
          <w:sz w:val="28"/>
          <w:szCs w:val="28"/>
        </w:rPr>
      </w:pPr>
      <w:r w:rsidRPr="007E0D12">
        <w:rPr>
          <w:b/>
          <w:sz w:val="28"/>
          <w:szCs w:val="28"/>
        </w:rPr>
        <w:t xml:space="preserve">Le 01/05/N  </w:t>
      </w:r>
      <w:r w:rsidRPr="007E0D12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commerçant a emprunté auprès de la banque 10 000 € </w:t>
      </w:r>
      <w:r w:rsidR="00F2287F">
        <w:rPr>
          <w:sz w:val="28"/>
          <w:szCs w:val="28"/>
        </w:rPr>
        <w:t>(V°)</w:t>
      </w:r>
      <w:r>
        <w:rPr>
          <w:sz w:val="28"/>
          <w:szCs w:val="28"/>
        </w:rPr>
        <w:t xml:space="preserve"> au taux de 5 % </w:t>
      </w:r>
      <w:r w:rsidR="00F2287F">
        <w:rPr>
          <w:sz w:val="28"/>
          <w:szCs w:val="28"/>
        </w:rPr>
        <w:t xml:space="preserve"> (I) </w:t>
      </w:r>
      <w:r>
        <w:rPr>
          <w:sz w:val="28"/>
          <w:szCs w:val="28"/>
        </w:rPr>
        <w:t xml:space="preserve">remboursables sur 4 ans par amortissement constant à dater  du </w:t>
      </w:r>
      <w:r w:rsidRPr="007E0D12">
        <w:rPr>
          <w:b/>
          <w:sz w:val="28"/>
          <w:szCs w:val="28"/>
        </w:rPr>
        <w:t xml:space="preserve">01/05/N  </w:t>
      </w:r>
      <w:r>
        <w:rPr>
          <w:b/>
          <w:sz w:val="28"/>
          <w:szCs w:val="28"/>
        </w:rPr>
        <w:t>+ 1</w:t>
      </w:r>
    </w:p>
    <w:p w:rsidR="00F2287F" w:rsidRDefault="007E0D12" w:rsidP="00B6691C">
      <w:pPr>
        <w:rPr>
          <w:sz w:val="28"/>
          <w:szCs w:val="28"/>
        </w:rPr>
      </w:pPr>
      <w:r w:rsidRPr="007E0D12">
        <w:rPr>
          <w:sz w:val="28"/>
          <w:szCs w:val="28"/>
        </w:rPr>
        <w:t xml:space="preserve">Frais : pas de frais de dossier. Assurance : taux annuel de </w:t>
      </w:r>
      <w:r w:rsidR="00AD19EF">
        <w:rPr>
          <w:sz w:val="28"/>
          <w:szCs w:val="28"/>
        </w:rPr>
        <w:t>0,</w:t>
      </w:r>
      <w:r w:rsidRPr="007E0D12">
        <w:rPr>
          <w:sz w:val="28"/>
          <w:szCs w:val="28"/>
        </w:rPr>
        <w:t xml:space="preserve">4% du montant emprunté payable </w:t>
      </w:r>
    </w:p>
    <w:p w:rsidR="007E0D12" w:rsidRDefault="007E0D12" w:rsidP="00B6691C">
      <w:pPr>
        <w:rPr>
          <w:sz w:val="28"/>
          <w:szCs w:val="28"/>
        </w:rPr>
      </w:pPr>
      <w:proofErr w:type="gramStart"/>
      <w:r w:rsidRPr="007E0D12">
        <w:rPr>
          <w:sz w:val="28"/>
          <w:szCs w:val="28"/>
        </w:rPr>
        <w:t>chaque</w:t>
      </w:r>
      <w:proofErr w:type="gramEnd"/>
      <w:r w:rsidRPr="007E0D12">
        <w:rPr>
          <w:sz w:val="28"/>
          <w:szCs w:val="28"/>
        </w:rPr>
        <w:t xml:space="preserve"> année</w:t>
      </w:r>
    </w:p>
    <w:p w:rsidR="00C664C7" w:rsidRDefault="00F2287F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C664C7">
        <w:rPr>
          <w:b/>
          <w:sz w:val="28"/>
          <w:szCs w:val="28"/>
          <w:u w:val="single"/>
        </w:rPr>
        <w:t>Calcul de l’amortissement constant</w:t>
      </w:r>
      <w:r w:rsidR="00C664C7" w:rsidRPr="00C664C7">
        <w:rPr>
          <w:sz w:val="28"/>
          <w:szCs w:val="28"/>
        </w:rPr>
        <w:t xml:space="preserve"> = Montant emprunté/nombre de périodes de remboursement, soit V°/n </w:t>
      </w:r>
    </w:p>
    <w:p w:rsidR="00C664C7" w:rsidRPr="00040229" w:rsidRDefault="00C664C7" w:rsidP="00C664C7">
      <w:pPr>
        <w:pStyle w:val="Paragraphedeliste"/>
        <w:rPr>
          <w:sz w:val="16"/>
          <w:szCs w:val="16"/>
        </w:rPr>
      </w:pPr>
    </w:p>
    <w:p w:rsidR="001568F2" w:rsidRDefault="001568F2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>Calcul de l’intérêt annuel</w:t>
      </w:r>
      <w:r w:rsidR="00C664C7" w:rsidRPr="00C664C7">
        <w:rPr>
          <w:sz w:val="28"/>
          <w:szCs w:val="28"/>
        </w:rPr>
        <w:t xml:space="preserve"> = restant dû en début de période x taux d’intérêt</w:t>
      </w:r>
    </w:p>
    <w:p w:rsidR="00C664C7" w:rsidRPr="00040229" w:rsidRDefault="00C664C7" w:rsidP="00C664C7">
      <w:pPr>
        <w:pStyle w:val="Paragraphedeliste"/>
        <w:rPr>
          <w:sz w:val="16"/>
          <w:szCs w:val="16"/>
        </w:rPr>
      </w:pPr>
    </w:p>
    <w:p w:rsidR="00C664C7" w:rsidRDefault="00C664C7" w:rsidP="00C664C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Soit intérêt 1</w:t>
      </w:r>
      <w:r w:rsidRPr="00C664C7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période </w:t>
      </w:r>
    </w:p>
    <w:p w:rsidR="00040229" w:rsidRPr="00040229" w:rsidRDefault="00040229" w:rsidP="00C664C7">
      <w:pPr>
        <w:pStyle w:val="Paragraphedeliste"/>
        <w:rPr>
          <w:sz w:val="16"/>
          <w:szCs w:val="16"/>
        </w:rPr>
      </w:pPr>
    </w:p>
    <w:p w:rsidR="00040229" w:rsidRDefault="00040229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>Calcul de l’</w:t>
      </w:r>
      <w:r>
        <w:rPr>
          <w:b/>
          <w:sz w:val="28"/>
          <w:szCs w:val="28"/>
          <w:u w:val="single"/>
        </w:rPr>
        <w:t xml:space="preserve">annuité </w:t>
      </w:r>
      <w:r w:rsidRPr="00C664C7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amortissement constant + </w:t>
      </w:r>
      <w:r w:rsidRPr="00C664C7">
        <w:rPr>
          <w:sz w:val="28"/>
          <w:szCs w:val="28"/>
        </w:rPr>
        <w:t>intérêt</w:t>
      </w:r>
    </w:p>
    <w:p w:rsidR="00040229" w:rsidRPr="00040229" w:rsidRDefault="00040229" w:rsidP="00040229">
      <w:pPr>
        <w:pStyle w:val="Paragraphedeliste"/>
        <w:rPr>
          <w:sz w:val="16"/>
          <w:szCs w:val="16"/>
        </w:rPr>
      </w:pPr>
    </w:p>
    <w:p w:rsidR="00040229" w:rsidRDefault="00040229" w:rsidP="0004022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Soit annuité 1</w:t>
      </w:r>
      <w:r w:rsidRPr="00C664C7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période </w:t>
      </w:r>
    </w:p>
    <w:p w:rsidR="0071439D" w:rsidRPr="001A14E5" w:rsidRDefault="0071439D" w:rsidP="00040229">
      <w:pPr>
        <w:pStyle w:val="Paragraphedeliste"/>
        <w:rPr>
          <w:sz w:val="16"/>
          <w:szCs w:val="16"/>
        </w:rPr>
      </w:pPr>
    </w:p>
    <w:p w:rsidR="001568F2" w:rsidRPr="00040229" w:rsidRDefault="001568F2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>Calcul du capital restant du en fin de période</w:t>
      </w:r>
      <w:r w:rsidR="00040229" w:rsidRPr="00040229">
        <w:rPr>
          <w:b/>
          <w:sz w:val="28"/>
          <w:szCs w:val="28"/>
          <w:u w:val="single"/>
        </w:rPr>
        <w:t xml:space="preserve"> </w:t>
      </w:r>
      <w:r w:rsidR="00040229">
        <w:rPr>
          <w:b/>
          <w:sz w:val="28"/>
          <w:szCs w:val="28"/>
          <w:u w:val="single"/>
        </w:rPr>
        <w:t xml:space="preserve"> =</w:t>
      </w:r>
      <w:r w:rsidR="00040229" w:rsidRPr="00040229">
        <w:rPr>
          <w:sz w:val="28"/>
          <w:szCs w:val="28"/>
        </w:rPr>
        <w:t>restant dû en début de période – amortissement de la période</w:t>
      </w:r>
    </w:p>
    <w:p w:rsidR="001A14E5" w:rsidRDefault="00040229" w:rsidP="0004022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Soit </w:t>
      </w:r>
      <w:r w:rsidRPr="00040229">
        <w:rPr>
          <w:sz w:val="28"/>
          <w:szCs w:val="28"/>
        </w:rPr>
        <w:t xml:space="preserve">restant dû en </w:t>
      </w:r>
      <w:r>
        <w:rPr>
          <w:sz w:val="28"/>
          <w:szCs w:val="28"/>
        </w:rPr>
        <w:t xml:space="preserve">fin </w:t>
      </w:r>
      <w:r w:rsidRPr="00040229">
        <w:rPr>
          <w:sz w:val="28"/>
          <w:szCs w:val="28"/>
        </w:rPr>
        <w:t>de période</w:t>
      </w:r>
      <w:r>
        <w:rPr>
          <w:sz w:val="28"/>
          <w:szCs w:val="28"/>
        </w:rPr>
        <w:t xml:space="preserve"> </w:t>
      </w:r>
    </w:p>
    <w:p w:rsidR="0071439D" w:rsidRPr="001A14E5" w:rsidRDefault="0071439D" w:rsidP="00040229">
      <w:pPr>
        <w:pStyle w:val="Paragraphedeliste"/>
        <w:rPr>
          <w:sz w:val="16"/>
          <w:szCs w:val="16"/>
        </w:rPr>
      </w:pPr>
    </w:p>
    <w:p w:rsidR="00E219E3" w:rsidRPr="00E219E3" w:rsidRDefault="001568F2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E219E3">
        <w:rPr>
          <w:b/>
          <w:sz w:val="28"/>
          <w:szCs w:val="28"/>
          <w:u w:val="single"/>
        </w:rPr>
        <w:t>Calcul des frais</w:t>
      </w:r>
      <w:r w:rsidR="00E219E3" w:rsidRPr="00E219E3">
        <w:rPr>
          <w:b/>
          <w:sz w:val="28"/>
          <w:szCs w:val="28"/>
          <w:u w:val="single"/>
        </w:rPr>
        <w:t xml:space="preserve"> : </w:t>
      </w:r>
    </w:p>
    <w:p w:rsidR="00E219E3" w:rsidRDefault="00E219E3" w:rsidP="00E219E3">
      <w:pPr>
        <w:pStyle w:val="Paragraphedeliste"/>
        <w:rPr>
          <w:sz w:val="28"/>
          <w:szCs w:val="28"/>
        </w:rPr>
      </w:pPr>
      <w:proofErr w:type="gramStart"/>
      <w:r w:rsidRPr="00E219E3">
        <w:rPr>
          <w:sz w:val="28"/>
          <w:szCs w:val="28"/>
          <w:u w:val="single"/>
        </w:rPr>
        <w:t>frais</w:t>
      </w:r>
      <w:proofErr w:type="gramEnd"/>
      <w:r w:rsidRPr="00E219E3">
        <w:rPr>
          <w:sz w:val="28"/>
          <w:szCs w:val="28"/>
          <w:u w:val="single"/>
        </w:rPr>
        <w:t xml:space="preserve"> de dossier</w:t>
      </w:r>
      <w:r w:rsidRPr="00E219E3">
        <w:rPr>
          <w:sz w:val="28"/>
          <w:szCs w:val="28"/>
        </w:rPr>
        <w:t> : en général forfaitaire</w:t>
      </w:r>
    </w:p>
    <w:p w:rsidR="00E219E3" w:rsidRDefault="00E219E3" w:rsidP="00E219E3">
      <w:pPr>
        <w:pStyle w:val="Paragraphedeliste"/>
        <w:rPr>
          <w:sz w:val="28"/>
          <w:szCs w:val="28"/>
        </w:rPr>
      </w:pPr>
      <w:proofErr w:type="gramStart"/>
      <w:r w:rsidRPr="00E219E3">
        <w:rPr>
          <w:sz w:val="28"/>
          <w:szCs w:val="28"/>
          <w:u w:val="single"/>
        </w:rPr>
        <w:t>frais</w:t>
      </w:r>
      <w:proofErr w:type="gramEnd"/>
      <w:r w:rsidRPr="00E219E3">
        <w:rPr>
          <w:sz w:val="28"/>
          <w:szCs w:val="28"/>
          <w:u w:val="single"/>
        </w:rPr>
        <w:t xml:space="preserve"> d</w:t>
      </w:r>
      <w:r>
        <w:rPr>
          <w:sz w:val="28"/>
          <w:szCs w:val="28"/>
          <w:u w:val="single"/>
        </w:rPr>
        <w:t>’assurance annu</w:t>
      </w:r>
      <w:r w:rsidR="001A14E5">
        <w:rPr>
          <w:sz w:val="28"/>
          <w:szCs w:val="28"/>
          <w:u w:val="single"/>
        </w:rPr>
        <w:t>el</w:t>
      </w:r>
      <w:r w:rsidRPr="00E219E3">
        <w:rPr>
          <w:sz w:val="28"/>
          <w:szCs w:val="28"/>
        </w:rPr>
        <w:t> </w:t>
      </w:r>
      <w:r w:rsidR="001A14E5">
        <w:rPr>
          <w:sz w:val="28"/>
          <w:szCs w:val="28"/>
        </w:rPr>
        <w:t xml:space="preserve">= capital emprunté  x taux </w:t>
      </w:r>
    </w:p>
    <w:p w:rsidR="00E219E3" w:rsidRPr="00E219E3" w:rsidRDefault="00E219E3" w:rsidP="00E219E3">
      <w:pPr>
        <w:pStyle w:val="Paragraphedeliste"/>
        <w:rPr>
          <w:sz w:val="28"/>
          <w:szCs w:val="28"/>
        </w:rPr>
      </w:pPr>
    </w:p>
    <w:p w:rsidR="0071439D" w:rsidRDefault="0071439D" w:rsidP="0071439D">
      <w:pPr>
        <w:jc w:val="center"/>
        <w:rPr>
          <w:b/>
          <w:sz w:val="28"/>
          <w:szCs w:val="28"/>
          <w:u w:val="single"/>
        </w:rPr>
      </w:pPr>
    </w:p>
    <w:p w:rsidR="0071439D" w:rsidRDefault="0071439D" w:rsidP="0071439D">
      <w:pPr>
        <w:jc w:val="center"/>
        <w:rPr>
          <w:b/>
          <w:sz w:val="28"/>
          <w:szCs w:val="28"/>
          <w:u w:val="single"/>
        </w:rPr>
      </w:pPr>
    </w:p>
    <w:p w:rsidR="005F2500" w:rsidRDefault="005F2500" w:rsidP="0071439D">
      <w:pPr>
        <w:jc w:val="center"/>
        <w:rPr>
          <w:b/>
          <w:sz w:val="28"/>
          <w:szCs w:val="28"/>
          <w:u w:val="single"/>
        </w:rPr>
      </w:pPr>
    </w:p>
    <w:p w:rsidR="005F2500" w:rsidRDefault="005F2500" w:rsidP="0071439D">
      <w:pPr>
        <w:jc w:val="center"/>
        <w:rPr>
          <w:b/>
          <w:sz w:val="28"/>
          <w:szCs w:val="28"/>
          <w:u w:val="single"/>
        </w:rPr>
      </w:pPr>
    </w:p>
    <w:p w:rsidR="005F2500" w:rsidRDefault="005F2500" w:rsidP="0071439D">
      <w:pPr>
        <w:jc w:val="center"/>
        <w:rPr>
          <w:b/>
          <w:sz w:val="28"/>
          <w:szCs w:val="28"/>
          <w:u w:val="single"/>
        </w:rPr>
      </w:pPr>
    </w:p>
    <w:p w:rsidR="0071439D" w:rsidRPr="00EF3856" w:rsidRDefault="0071439D" w:rsidP="0071439D">
      <w:pPr>
        <w:jc w:val="center"/>
        <w:rPr>
          <w:b/>
          <w:sz w:val="28"/>
          <w:szCs w:val="28"/>
          <w:u w:val="single"/>
        </w:rPr>
      </w:pPr>
      <w:r w:rsidRPr="00EF3856">
        <w:rPr>
          <w:b/>
          <w:sz w:val="28"/>
          <w:szCs w:val="28"/>
          <w:u w:val="single"/>
        </w:rPr>
        <w:t>Tableau de Remboursement (sans les frais)</w:t>
      </w:r>
    </w:p>
    <w:p w:rsidR="0071439D" w:rsidRDefault="0071439D" w:rsidP="0071439D">
      <w:pPr>
        <w:rPr>
          <w:b/>
          <w:sz w:val="24"/>
          <w:szCs w:val="24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62"/>
        <w:gridCol w:w="1849"/>
        <w:gridCol w:w="1763"/>
        <w:gridCol w:w="1754"/>
        <w:gridCol w:w="2010"/>
        <w:gridCol w:w="1850"/>
      </w:tblGrid>
      <w:tr w:rsidR="0071439D" w:rsidTr="009B7B09">
        <w:tc>
          <w:tcPr>
            <w:tcW w:w="1799" w:type="dxa"/>
            <w:vAlign w:val="center"/>
          </w:tcPr>
          <w:p w:rsidR="0071439D" w:rsidRPr="00B6691C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 w:rsidRPr="00B6691C">
              <w:rPr>
                <w:b/>
                <w:sz w:val="24"/>
                <w:szCs w:val="24"/>
              </w:rPr>
              <w:t>Période</w:t>
            </w:r>
          </w:p>
        </w:tc>
        <w:tc>
          <w:tcPr>
            <w:tcW w:w="1892" w:type="dxa"/>
          </w:tcPr>
          <w:p w:rsidR="0071439D" w:rsidRPr="00B6691C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Restant du en début de période</w:t>
            </w:r>
          </w:p>
        </w:tc>
        <w:tc>
          <w:tcPr>
            <w:tcW w:w="1806" w:type="dxa"/>
            <w:vAlign w:val="center"/>
          </w:tcPr>
          <w:p w:rsidR="0071439D" w:rsidRPr="00B6691C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Intérêt</w:t>
            </w:r>
          </w:p>
        </w:tc>
        <w:tc>
          <w:tcPr>
            <w:tcW w:w="1553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Amortissement</w:t>
            </w:r>
          </w:p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V°/N</w:t>
            </w:r>
          </w:p>
        </w:tc>
        <w:tc>
          <w:tcPr>
            <w:tcW w:w="2045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annuités  hors assurances</w:t>
            </w:r>
          </w:p>
        </w:tc>
        <w:tc>
          <w:tcPr>
            <w:tcW w:w="1893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Restant du en fin de période</w:t>
            </w:r>
          </w:p>
        </w:tc>
      </w:tr>
      <w:tr w:rsidR="0071439D" w:rsidRPr="007B2A8B" w:rsidTr="009B7B09">
        <w:tc>
          <w:tcPr>
            <w:tcW w:w="1799" w:type="dxa"/>
          </w:tcPr>
          <w:p w:rsidR="0071439D" w:rsidRPr="00711004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</w:rPr>
            </w:pPr>
            <w:r w:rsidRPr="007B2A8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6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 = A x I</w:t>
            </w:r>
          </w:p>
        </w:tc>
        <w:tc>
          <w:tcPr>
            <w:tcW w:w="1553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 = D - B</w:t>
            </w:r>
          </w:p>
        </w:tc>
        <w:tc>
          <w:tcPr>
            <w:tcW w:w="2045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 =  B + C</w:t>
            </w:r>
          </w:p>
        </w:tc>
        <w:tc>
          <w:tcPr>
            <w:tcW w:w="1893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7B2A8B">
              <w:rPr>
                <w:b/>
                <w:sz w:val="20"/>
                <w:szCs w:val="20"/>
              </w:rPr>
              <w:t xml:space="preserve"> = A </w:t>
            </w:r>
            <w:r w:rsidR="00FB28B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C</w:t>
            </w:r>
          </w:p>
        </w:tc>
      </w:tr>
      <w:tr w:rsidR="0071439D" w:rsidRPr="007E585B" w:rsidTr="009B7B09">
        <w:trPr>
          <w:trHeight w:val="340"/>
        </w:trPr>
        <w:tc>
          <w:tcPr>
            <w:tcW w:w="1799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71439D" w:rsidRPr="007B2A8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39D" w:rsidRPr="007E585B" w:rsidTr="009B7B09">
        <w:tc>
          <w:tcPr>
            <w:tcW w:w="1799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1439D" w:rsidRPr="007B2A8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39D" w:rsidRPr="007E585B" w:rsidTr="009B7B09">
        <w:tc>
          <w:tcPr>
            <w:tcW w:w="1799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39D" w:rsidRPr="007E585B" w:rsidTr="009B7B09">
        <w:tc>
          <w:tcPr>
            <w:tcW w:w="1799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439D" w:rsidRDefault="0071439D" w:rsidP="0071439D">
      <w:pPr>
        <w:rPr>
          <w:b/>
          <w:sz w:val="28"/>
          <w:szCs w:val="28"/>
          <w:u w:val="single"/>
        </w:rPr>
      </w:pPr>
    </w:p>
    <w:p w:rsidR="0071439D" w:rsidRDefault="0071439D" w:rsidP="007143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Corrigé</w:t>
      </w:r>
    </w:p>
    <w:p w:rsidR="0071439D" w:rsidRDefault="0071439D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C664C7">
        <w:rPr>
          <w:b/>
          <w:sz w:val="28"/>
          <w:szCs w:val="28"/>
          <w:u w:val="single"/>
        </w:rPr>
        <w:t>Calcul de l’amortissement constant</w:t>
      </w:r>
      <w:r w:rsidRPr="00C664C7">
        <w:rPr>
          <w:sz w:val="28"/>
          <w:szCs w:val="28"/>
        </w:rPr>
        <w:t xml:space="preserve"> = Montant emprunté/nombre de périodes de remboursement, soit V°/n = 10 000/4 =2 500 €</w:t>
      </w:r>
    </w:p>
    <w:p w:rsidR="0071439D" w:rsidRPr="00040229" w:rsidRDefault="0071439D" w:rsidP="0071439D">
      <w:pPr>
        <w:pStyle w:val="Paragraphedeliste"/>
        <w:rPr>
          <w:sz w:val="16"/>
          <w:szCs w:val="16"/>
        </w:rPr>
      </w:pPr>
    </w:p>
    <w:p w:rsidR="0071439D" w:rsidRDefault="0071439D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>Calcul de l’intérêt annuel</w:t>
      </w:r>
      <w:r w:rsidRPr="00C664C7">
        <w:rPr>
          <w:sz w:val="28"/>
          <w:szCs w:val="28"/>
        </w:rPr>
        <w:t xml:space="preserve"> = restant dû en début de période x taux d’intérêt</w:t>
      </w:r>
    </w:p>
    <w:p w:rsidR="0071439D" w:rsidRPr="00040229" w:rsidRDefault="0071439D" w:rsidP="0071439D">
      <w:pPr>
        <w:pStyle w:val="Paragraphedeliste"/>
        <w:rPr>
          <w:sz w:val="16"/>
          <w:szCs w:val="16"/>
        </w:rPr>
      </w:pPr>
    </w:p>
    <w:p w:rsidR="0071439D" w:rsidRDefault="0071439D" w:rsidP="0071439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Soit intérêt 1</w:t>
      </w:r>
      <w:r w:rsidRPr="00C664C7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période = 10 000 x 5 % = 500 €</w:t>
      </w:r>
    </w:p>
    <w:p w:rsidR="0071439D" w:rsidRPr="00040229" w:rsidRDefault="0071439D" w:rsidP="0071439D">
      <w:pPr>
        <w:pStyle w:val="Paragraphedeliste"/>
        <w:rPr>
          <w:sz w:val="16"/>
          <w:szCs w:val="16"/>
        </w:rPr>
      </w:pPr>
    </w:p>
    <w:p w:rsidR="0071439D" w:rsidRDefault="0071439D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>Calcul de l’</w:t>
      </w:r>
      <w:r>
        <w:rPr>
          <w:b/>
          <w:sz w:val="28"/>
          <w:szCs w:val="28"/>
          <w:u w:val="single"/>
        </w:rPr>
        <w:t xml:space="preserve">annuité </w:t>
      </w:r>
      <w:r w:rsidRPr="00C664C7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amortissement constant + </w:t>
      </w:r>
      <w:r w:rsidRPr="00C664C7">
        <w:rPr>
          <w:sz w:val="28"/>
          <w:szCs w:val="28"/>
        </w:rPr>
        <w:t>intérêt</w:t>
      </w:r>
    </w:p>
    <w:p w:rsidR="0071439D" w:rsidRPr="00040229" w:rsidRDefault="0071439D" w:rsidP="0071439D">
      <w:pPr>
        <w:pStyle w:val="Paragraphedeliste"/>
        <w:rPr>
          <w:sz w:val="16"/>
          <w:szCs w:val="16"/>
        </w:rPr>
      </w:pPr>
    </w:p>
    <w:p w:rsidR="0071439D" w:rsidRDefault="0071439D" w:rsidP="0071439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Soit annuité 1</w:t>
      </w:r>
      <w:r w:rsidRPr="00C664C7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période = </w:t>
      </w:r>
      <w:r w:rsidRPr="00C664C7">
        <w:rPr>
          <w:sz w:val="28"/>
          <w:szCs w:val="28"/>
        </w:rPr>
        <w:t>2 500 €</w:t>
      </w:r>
      <w:r>
        <w:rPr>
          <w:sz w:val="28"/>
          <w:szCs w:val="28"/>
        </w:rPr>
        <w:t xml:space="preserve"> +500 € = 3 000 €</w:t>
      </w:r>
    </w:p>
    <w:p w:rsidR="0071439D" w:rsidRPr="001A14E5" w:rsidRDefault="0071439D" w:rsidP="0071439D">
      <w:pPr>
        <w:pStyle w:val="Paragraphedeliste"/>
        <w:rPr>
          <w:sz w:val="16"/>
          <w:szCs w:val="16"/>
        </w:rPr>
      </w:pPr>
    </w:p>
    <w:p w:rsidR="0071439D" w:rsidRPr="00040229" w:rsidRDefault="0071439D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 xml:space="preserve">Calcul du capital restant du en fin de période </w:t>
      </w:r>
      <w:r>
        <w:rPr>
          <w:b/>
          <w:sz w:val="28"/>
          <w:szCs w:val="28"/>
          <w:u w:val="single"/>
        </w:rPr>
        <w:t xml:space="preserve"> =</w:t>
      </w:r>
      <w:r w:rsidRPr="00040229">
        <w:rPr>
          <w:sz w:val="28"/>
          <w:szCs w:val="28"/>
        </w:rPr>
        <w:t>restant dû en début de période – amortissement de la période</w:t>
      </w:r>
    </w:p>
    <w:p w:rsidR="0071439D" w:rsidRDefault="0071439D" w:rsidP="0071439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Soit </w:t>
      </w:r>
      <w:r w:rsidRPr="00040229">
        <w:rPr>
          <w:sz w:val="28"/>
          <w:szCs w:val="28"/>
        </w:rPr>
        <w:t xml:space="preserve">restant dû en </w:t>
      </w:r>
      <w:r>
        <w:rPr>
          <w:sz w:val="28"/>
          <w:szCs w:val="28"/>
        </w:rPr>
        <w:t xml:space="preserve">fin </w:t>
      </w:r>
      <w:r w:rsidRPr="00040229">
        <w:rPr>
          <w:sz w:val="28"/>
          <w:szCs w:val="28"/>
        </w:rPr>
        <w:t>de période</w:t>
      </w:r>
      <w:r>
        <w:rPr>
          <w:sz w:val="28"/>
          <w:szCs w:val="28"/>
        </w:rPr>
        <w:t xml:space="preserve"> = 10 000 - </w:t>
      </w:r>
      <w:r w:rsidRPr="00C664C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664C7">
        <w:rPr>
          <w:sz w:val="28"/>
          <w:szCs w:val="28"/>
        </w:rPr>
        <w:t>500</w:t>
      </w:r>
      <w:r>
        <w:rPr>
          <w:sz w:val="28"/>
          <w:szCs w:val="28"/>
        </w:rPr>
        <w:t xml:space="preserve"> =7 500 €</w:t>
      </w:r>
    </w:p>
    <w:p w:rsidR="0071439D" w:rsidRPr="001A14E5" w:rsidRDefault="0071439D" w:rsidP="0071439D">
      <w:pPr>
        <w:pStyle w:val="Paragraphedeliste"/>
        <w:rPr>
          <w:sz w:val="16"/>
          <w:szCs w:val="16"/>
        </w:rPr>
      </w:pPr>
    </w:p>
    <w:p w:rsidR="0071439D" w:rsidRPr="00E219E3" w:rsidRDefault="0071439D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E219E3">
        <w:rPr>
          <w:b/>
          <w:sz w:val="28"/>
          <w:szCs w:val="28"/>
          <w:u w:val="single"/>
        </w:rPr>
        <w:t xml:space="preserve">Calcul des frais : </w:t>
      </w:r>
    </w:p>
    <w:p w:rsidR="0071439D" w:rsidRDefault="0071439D" w:rsidP="0071439D">
      <w:pPr>
        <w:pStyle w:val="Paragraphedeliste"/>
        <w:rPr>
          <w:sz w:val="28"/>
          <w:szCs w:val="28"/>
        </w:rPr>
      </w:pPr>
      <w:proofErr w:type="gramStart"/>
      <w:r w:rsidRPr="00E219E3">
        <w:rPr>
          <w:sz w:val="28"/>
          <w:szCs w:val="28"/>
          <w:u w:val="single"/>
        </w:rPr>
        <w:t>frais</w:t>
      </w:r>
      <w:proofErr w:type="gramEnd"/>
      <w:r w:rsidRPr="00E219E3">
        <w:rPr>
          <w:sz w:val="28"/>
          <w:szCs w:val="28"/>
          <w:u w:val="single"/>
        </w:rPr>
        <w:t xml:space="preserve"> de dossier</w:t>
      </w:r>
      <w:r w:rsidRPr="00E219E3">
        <w:rPr>
          <w:sz w:val="28"/>
          <w:szCs w:val="28"/>
        </w:rPr>
        <w:t> : en général forfaitaire</w:t>
      </w:r>
    </w:p>
    <w:p w:rsidR="0071439D" w:rsidRDefault="0071439D" w:rsidP="0071439D">
      <w:pPr>
        <w:pStyle w:val="Paragraphedeliste"/>
        <w:rPr>
          <w:sz w:val="28"/>
          <w:szCs w:val="28"/>
        </w:rPr>
      </w:pPr>
      <w:proofErr w:type="gramStart"/>
      <w:r w:rsidRPr="00E219E3">
        <w:rPr>
          <w:sz w:val="28"/>
          <w:szCs w:val="28"/>
          <w:u w:val="single"/>
        </w:rPr>
        <w:t>frais</w:t>
      </w:r>
      <w:proofErr w:type="gramEnd"/>
      <w:r w:rsidRPr="00E219E3">
        <w:rPr>
          <w:sz w:val="28"/>
          <w:szCs w:val="28"/>
          <w:u w:val="single"/>
        </w:rPr>
        <w:t xml:space="preserve"> d</w:t>
      </w:r>
      <w:r>
        <w:rPr>
          <w:sz w:val="28"/>
          <w:szCs w:val="28"/>
          <w:u w:val="single"/>
        </w:rPr>
        <w:t>’assurance annuel</w:t>
      </w:r>
      <w:r w:rsidRPr="00E219E3">
        <w:rPr>
          <w:sz w:val="28"/>
          <w:szCs w:val="28"/>
        </w:rPr>
        <w:t> </w:t>
      </w:r>
      <w:r>
        <w:rPr>
          <w:sz w:val="28"/>
          <w:szCs w:val="28"/>
        </w:rPr>
        <w:t xml:space="preserve">= capital emprunté  x taux </w:t>
      </w:r>
    </w:p>
    <w:p w:rsidR="0071439D" w:rsidRDefault="0071439D" w:rsidP="0071439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10 000 x 0,40 % = 40 € soit  40 x 4 = 160 €</w:t>
      </w:r>
    </w:p>
    <w:p w:rsidR="0071439D" w:rsidRDefault="0071439D" w:rsidP="0071439D">
      <w:pPr>
        <w:pStyle w:val="Paragraphedeliste"/>
        <w:rPr>
          <w:sz w:val="28"/>
          <w:szCs w:val="28"/>
        </w:rPr>
      </w:pPr>
    </w:p>
    <w:p w:rsidR="003159E6" w:rsidRDefault="003159E6" w:rsidP="0071439D">
      <w:pPr>
        <w:jc w:val="center"/>
        <w:rPr>
          <w:b/>
          <w:sz w:val="28"/>
          <w:szCs w:val="28"/>
          <w:u w:val="single"/>
        </w:rPr>
      </w:pPr>
    </w:p>
    <w:p w:rsidR="003159E6" w:rsidRDefault="003159E6" w:rsidP="0071439D">
      <w:pPr>
        <w:jc w:val="center"/>
        <w:rPr>
          <w:b/>
          <w:sz w:val="28"/>
          <w:szCs w:val="28"/>
          <w:u w:val="single"/>
        </w:rPr>
      </w:pPr>
    </w:p>
    <w:p w:rsidR="0071439D" w:rsidRPr="00EF3856" w:rsidRDefault="0071439D" w:rsidP="0071439D">
      <w:pPr>
        <w:jc w:val="center"/>
        <w:rPr>
          <w:b/>
          <w:sz w:val="28"/>
          <w:szCs w:val="28"/>
          <w:u w:val="single"/>
        </w:rPr>
      </w:pPr>
      <w:r w:rsidRPr="00EF3856">
        <w:rPr>
          <w:b/>
          <w:sz w:val="28"/>
          <w:szCs w:val="28"/>
          <w:u w:val="single"/>
        </w:rPr>
        <w:lastRenderedPageBreak/>
        <w:t>Tableau de Remboursement (sans les frais)</w:t>
      </w:r>
      <w:r w:rsidR="00A61F92">
        <w:rPr>
          <w:b/>
          <w:sz w:val="28"/>
          <w:szCs w:val="28"/>
          <w:u w:val="single"/>
        </w:rPr>
        <w:t xml:space="preserve"> par amortissements constants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62"/>
        <w:gridCol w:w="1849"/>
        <w:gridCol w:w="1763"/>
        <w:gridCol w:w="1754"/>
        <w:gridCol w:w="2010"/>
        <w:gridCol w:w="1850"/>
      </w:tblGrid>
      <w:tr w:rsidR="0071439D" w:rsidTr="00655E43">
        <w:tc>
          <w:tcPr>
            <w:tcW w:w="1762" w:type="dxa"/>
            <w:vAlign w:val="center"/>
          </w:tcPr>
          <w:p w:rsidR="0071439D" w:rsidRPr="00B6691C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 w:rsidRPr="00B6691C">
              <w:rPr>
                <w:b/>
                <w:sz w:val="24"/>
                <w:szCs w:val="24"/>
              </w:rPr>
              <w:t>Période</w:t>
            </w:r>
          </w:p>
        </w:tc>
        <w:tc>
          <w:tcPr>
            <w:tcW w:w="1849" w:type="dxa"/>
          </w:tcPr>
          <w:p w:rsidR="0071439D" w:rsidRPr="00B6691C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Restant du en début de période</w:t>
            </w:r>
          </w:p>
        </w:tc>
        <w:tc>
          <w:tcPr>
            <w:tcW w:w="1763" w:type="dxa"/>
            <w:vAlign w:val="center"/>
          </w:tcPr>
          <w:p w:rsidR="0071439D" w:rsidRPr="00B6691C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Intérêt</w:t>
            </w:r>
          </w:p>
        </w:tc>
        <w:tc>
          <w:tcPr>
            <w:tcW w:w="1754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Amortissement</w:t>
            </w:r>
          </w:p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V°/N</w:t>
            </w:r>
          </w:p>
        </w:tc>
        <w:tc>
          <w:tcPr>
            <w:tcW w:w="2010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annuités  hors assurances</w:t>
            </w:r>
          </w:p>
        </w:tc>
        <w:tc>
          <w:tcPr>
            <w:tcW w:w="1850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Restant du en fin de période</w:t>
            </w:r>
          </w:p>
        </w:tc>
      </w:tr>
      <w:tr w:rsidR="0071439D" w:rsidRPr="007B2A8B" w:rsidTr="00C83BF3">
        <w:trPr>
          <w:trHeight w:val="627"/>
        </w:trPr>
        <w:tc>
          <w:tcPr>
            <w:tcW w:w="1762" w:type="dxa"/>
          </w:tcPr>
          <w:p w:rsidR="0071439D" w:rsidRPr="00711004" w:rsidRDefault="0071439D" w:rsidP="009B7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</w:rPr>
            </w:pPr>
            <w:r w:rsidRPr="007B2A8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63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 = A x I</w:t>
            </w:r>
          </w:p>
        </w:tc>
        <w:tc>
          <w:tcPr>
            <w:tcW w:w="1754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 = D - B</w:t>
            </w:r>
          </w:p>
        </w:tc>
        <w:tc>
          <w:tcPr>
            <w:tcW w:w="2010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 =  B + C</w:t>
            </w:r>
          </w:p>
        </w:tc>
        <w:tc>
          <w:tcPr>
            <w:tcW w:w="1850" w:type="dxa"/>
          </w:tcPr>
          <w:p w:rsidR="0071439D" w:rsidRPr="007B2A8B" w:rsidRDefault="0071439D" w:rsidP="009B7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7B2A8B">
              <w:rPr>
                <w:b/>
                <w:sz w:val="20"/>
                <w:szCs w:val="20"/>
              </w:rPr>
              <w:t xml:space="preserve"> = A -</w:t>
            </w:r>
            <w:r>
              <w:rPr>
                <w:b/>
                <w:sz w:val="20"/>
                <w:szCs w:val="20"/>
              </w:rPr>
              <w:t>C</w:t>
            </w:r>
          </w:p>
        </w:tc>
      </w:tr>
      <w:tr w:rsidR="0071439D" w:rsidRPr="007E585B" w:rsidTr="00655E43">
        <w:trPr>
          <w:trHeight w:val="340"/>
        </w:trPr>
        <w:tc>
          <w:tcPr>
            <w:tcW w:w="1762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71439D" w:rsidRPr="007B2A8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763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4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010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1850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7 500</w:t>
            </w:r>
          </w:p>
        </w:tc>
      </w:tr>
      <w:tr w:rsidR="0071439D" w:rsidRPr="007E585B" w:rsidTr="00655E43">
        <w:tc>
          <w:tcPr>
            <w:tcW w:w="1762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71439D" w:rsidRPr="007B2A8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7 500</w:t>
            </w:r>
          </w:p>
        </w:tc>
        <w:tc>
          <w:tcPr>
            <w:tcW w:w="1763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754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010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2 875</w:t>
            </w:r>
          </w:p>
        </w:tc>
        <w:tc>
          <w:tcPr>
            <w:tcW w:w="1850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</w:tr>
      <w:tr w:rsidR="0071439D" w:rsidRPr="007E585B" w:rsidTr="00655E43">
        <w:tc>
          <w:tcPr>
            <w:tcW w:w="1762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1763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4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010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2 750</w:t>
            </w:r>
          </w:p>
        </w:tc>
        <w:tc>
          <w:tcPr>
            <w:tcW w:w="1850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71439D" w:rsidRPr="007E585B" w:rsidTr="00655E43">
        <w:tc>
          <w:tcPr>
            <w:tcW w:w="1762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1763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754" w:type="dxa"/>
          </w:tcPr>
          <w:p w:rsidR="0071439D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2010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2 625</w:t>
            </w:r>
          </w:p>
        </w:tc>
        <w:tc>
          <w:tcPr>
            <w:tcW w:w="1850" w:type="dxa"/>
          </w:tcPr>
          <w:p w:rsidR="0071439D" w:rsidRPr="007E585B" w:rsidRDefault="0071439D" w:rsidP="009B7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25192" w:rsidRPr="00B01A76" w:rsidRDefault="00D25192" w:rsidP="00D25192">
      <w:pPr>
        <w:ind w:left="360"/>
        <w:rPr>
          <w:b/>
          <w:sz w:val="24"/>
          <w:szCs w:val="24"/>
          <w:u w:val="single"/>
        </w:rPr>
      </w:pPr>
      <w:proofErr w:type="gramStart"/>
      <w:r>
        <w:rPr>
          <w:b/>
          <w:sz w:val="32"/>
          <w:szCs w:val="32"/>
          <w:u w:val="single"/>
        </w:rPr>
        <w:t>c/</w:t>
      </w:r>
      <w:proofErr w:type="gramEnd"/>
      <w:r w:rsidRPr="00B01A76">
        <w:rPr>
          <w:b/>
          <w:sz w:val="32"/>
          <w:szCs w:val="32"/>
          <w:u w:val="single"/>
        </w:rPr>
        <w:t xml:space="preserve">Le calcul du remboursement par </w:t>
      </w:r>
      <w:r>
        <w:rPr>
          <w:b/>
          <w:sz w:val="32"/>
          <w:szCs w:val="32"/>
          <w:u w:val="single"/>
        </w:rPr>
        <w:t>annuités</w:t>
      </w:r>
      <w:r w:rsidRPr="00B01A76">
        <w:rPr>
          <w:b/>
          <w:sz w:val="32"/>
          <w:szCs w:val="32"/>
          <w:u w:val="single"/>
        </w:rPr>
        <w:t xml:space="preserve"> constant</w:t>
      </w:r>
      <w:r>
        <w:rPr>
          <w:b/>
          <w:sz w:val="32"/>
          <w:szCs w:val="32"/>
          <w:u w:val="single"/>
        </w:rPr>
        <w:t>es</w:t>
      </w:r>
    </w:p>
    <w:p w:rsidR="0071439D" w:rsidRDefault="0071439D" w:rsidP="0071439D">
      <w:pPr>
        <w:rPr>
          <w:b/>
          <w:sz w:val="28"/>
          <w:szCs w:val="28"/>
          <w:u w:val="single"/>
        </w:rPr>
      </w:pPr>
    </w:p>
    <w:p w:rsidR="0071439D" w:rsidRDefault="00D25192" w:rsidP="007143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Principe </w:t>
      </w:r>
      <w:proofErr w:type="gramStart"/>
      <w:r>
        <w:rPr>
          <w:b/>
          <w:sz w:val="28"/>
          <w:szCs w:val="28"/>
          <w:u w:val="single"/>
        </w:rPr>
        <w:t>:</w:t>
      </w:r>
      <w:r w:rsidR="009E6E9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D25192">
        <w:rPr>
          <w:sz w:val="28"/>
          <w:szCs w:val="28"/>
        </w:rPr>
        <w:t>à</w:t>
      </w:r>
      <w:proofErr w:type="gramEnd"/>
      <w:r w:rsidRPr="00D25192">
        <w:rPr>
          <w:sz w:val="28"/>
          <w:szCs w:val="28"/>
        </w:rPr>
        <w:t xml:space="preserve"> chaque échéance, un remboursement de la même annuité hors assurance.</w:t>
      </w:r>
    </w:p>
    <w:p w:rsidR="0071439D" w:rsidRPr="00D25192" w:rsidRDefault="00D25192" w:rsidP="0071439D">
      <w:pPr>
        <w:rPr>
          <w:sz w:val="28"/>
          <w:szCs w:val="28"/>
        </w:rPr>
      </w:pPr>
      <w:r w:rsidRPr="00D25192">
        <w:rPr>
          <w:sz w:val="28"/>
          <w:szCs w:val="28"/>
        </w:rPr>
        <w:t>Les montant</w:t>
      </w:r>
      <w:r>
        <w:rPr>
          <w:sz w:val="28"/>
          <w:szCs w:val="28"/>
        </w:rPr>
        <w:t>s</w:t>
      </w:r>
      <w:r w:rsidRPr="00D25192">
        <w:rPr>
          <w:sz w:val="28"/>
          <w:szCs w:val="28"/>
        </w:rPr>
        <w:t xml:space="preserve"> des intérêts sont décroissants, car calculés sur le capital restant dû et les amortissements annuels du capital emprunté</w:t>
      </w:r>
    </w:p>
    <w:p w:rsidR="00D25192" w:rsidRPr="00655E43" w:rsidRDefault="00655E43" w:rsidP="005F2500">
      <w:pPr>
        <w:jc w:val="both"/>
        <w:rPr>
          <w:b/>
          <w:sz w:val="36"/>
          <w:szCs w:val="36"/>
          <w:u w:val="single"/>
        </w:rPr>
      </w:pPr>
      <w:r w:rsidRPr="00655E43">
        <w:rPr>
          <w:b/>
          <w:sz w:val="36"/>
          <w:szCs w:val="36"/>
          <w:u w:val="single"/>
        </w:rPr>
        <w:t>Exercice</w:t>
      </w:r>
      <w:r>
        <w:rPr>
          <w:b/>
          <w:sz w:val="36"/>
          <w:szCs w:val="36"/>
          <w:u w:val="single"/>
        </w:rPr>
        <w:t xml:space="preserve"> : </w:t>
      </w:r>
      <w:r w:rsidRPr="00655E43">
        <w:rPr>
          <w:sz w:val="28"/>
          <w:szCs w:val="28"/>
        </w:rPr>
        <w:t>capital emprunté</w:t>
      </w:r>
      <w:r>
        <w:rPr>
          <w:sz w:val="28"/>
          <w:szCs w:val="28"/>
        </w:rPr>
        <w:t xml:space="preserve"> 10 000, Taux 5 </w:t>
      </w:r>
      <w:proofErr w:type="gramStart"/>
      <w:r>
        <w:rPr>
          <w:sz w:val="28"/>
          <w:szCs w:val="28"/>
        </w:rPr>
        <w:t>% ,durée</w:t>
      </w:r>
      <w:proofErr w:type="gramEnd"/>
      <w:r>
        <w:rPr>
          <w:sz w:val="28"/>
          <w:szCs w:val="28"/>
        </w:rPr>
        <w:t xml:space="preserve"> 4ans</w:t>
      </w:r>
    </w:p>
    <w:p w:rsidR="00D25192" w:rsidRPr="00D25192" w:rsidRDefault="00D25192" w:rsidP="005F2500">
      <w:pPr>
        <w:jc w:val="both"/>
        <w:rPr>
          <w:b/>
          <w:sz w:val="28"/>
          <w:szCs w:val="28"/>
          <w:u w:val="single"/>
        </w:rPr>
      </w:pPr>
      <w:r w:rsidRPr="00D25192">
        <w:rPr>
          <w:b/>
          <w:sz w:val="28"/>
          <w:szCs w:val="28"/>
          <w:u w:val="single"/>
        </w:rPr>
        <w:t>Calcul de l’annuité constante</w:t>
      </w:r>
    </w:p>
    <w:p w:rsidR="00D25192" w:rsidRDefault="00D25192" w:rsidP="005F2500">
      <w:pPr>
        <w:jc w:val="both"/>
        <w:rPr>
          <w:sz w:val="28"/>
          <w:szCs w:val="28"/>
        </w:rPr>
      </w:pPr>
      <w:r w:rsidRPr="00D25192">
        <w:rPr>
          <w:sz w:val="28"/>
          <w:szCs w:val="28"/>
        </w:rPr>
        <w:t>Il est établi à partir de la valeur actuelle de l’emprunt V</w:t>
      </w:r>
      <w:proofErr w:type="gramStart"/>
      <w:r w:rsidRPr="00D25192">
        <w:rPr>
          <w:sz w:val="28"/>
          <w:szCs w:val="28"/>
        </w:rPr>
        <w:t>°</w:t>
      </w:r>
      <w:r>
        <w:rPr>
          <w:sz w:val="28"/>
          <w:szCs w:val="28"/>
        </w:rPr>
        <w:t> ,</w:t>
      </w:r>
      <w:proofErr w:type="gramEnd"/>
      <w:r>
        <w:rPr>
          <w:sz w:val="28"/>
          <w:szCs w:val="28"/>
        </w:rPr>
        <w:t xml:space="preserve"> soit :</w:t>
      </w:r>
    </w:p>
    <w:p w:rsidR="00D25192" w:rsidRDefault="00D25192" w:rsidP="005F2500">
      <w:pPr>
        <w:jc w:val="both"/>
        <w:rPr>
          <w:sz w:val="28"/>
          <w:szCs w:val="28"/>
        </w:rPr>
      </w:pPr>
      <w:r>
        <w:rPr>
          <w:sz w:val="28"/>
          <w:szCs w:val="28"/>
        </w:rPr>
        <w:t>V°  x   i</w:t>
      </w:r>
      <w:r w:rsidRPr="00D25192">
        <w:rPr>
          <w:sz w:val="28"/>
          <w:szCs w:val="28"/>
          <w:u w:val="single"/>
        </w:rPr>
        <w:t>I (taux d’intérêt)</w:t>
      </w:r>
    </w:p>
    <w:p w:rsidR="00D25192" w:rsidRDefault="00D25192" w:rsidP="005F2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‘1 – (1+i) puissance -n</w:t>
      </w:r>
    </w:p>
    <w:p w:rsidR="00D25192" w:rsidRDefault="00D25192" w:rsidP="005F2500">
      <w:pPr>
        <w:jc w:val="both"/>
        <w:rPr>
          <w:sz w:val="28"/>
          <w:szCs w:val="28"/>
        </w:rPr>
      </w:pPr>
    </w:p>
    <w:p w:rsidR="00D25192" w:rsidRPr="00D46AD5" w:rsidRDefault="00D25192" w:rsidP="005F2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Soit dans l’exemple : 10 000 </w:t>
      </w:r>
      <w:r w:rsidRPr="00D46AD5">
        <w:rPr>
          <w:sz w:val="28"/>
          <w:szCs w:val="28"/>
        </w:rPr>
        <w:t>x</w:t>
      </w:r>
      <w:r w:rsidR="00D46AD5" w:rsidRPr="00D46AD5">
        <w:rPr>
          <w:sz w:val="28"/>
          <w:szCs w:val="28"/>
        </w:rPr>
        <w:t xml:space="preserve">      </w:t>
      </w:r>
      <w:r w:rsidR="00D46AD5">
        <w:rPr>
          <w:sz w:val="28"/>
          <w:szCs w:val="28"/>
        </w:rPr>
        <w:t xml:space="preserve">   </w:t>
      </w:r>
      <w:r w:rsidR="00D46AD5" w:rsidRPr="00D46AD5">
        <w:rPr>
          <w:sz w:val="28"/>
          <w:szCs w:val="28"/>
        </w:rPr>
        <w:tab/>
      </w:r>
      <w:r w:rsidR="00D46AD5" w:rsidRPr="00D46AD5">
        <w:rPr>
          <w:sz w:val="28"/>
          <w:szCs w:val="28"/>
          <w:u w:val="single"/>
        </w:rPr>
        <w:t xml:space="preserve">     0,05 </w:t>
      </w:r>
      <w:r w:rsidR="00D46AD5">
        <w:rPr>
          <w:sz w:val="28"/>
          <w:szCs w:val="28"/>
          <w:u w:val="single"/>
        </w:rPr>
        <w:tab/>
      </w:r>
      <w:r w:rsidR="00D46AD5">
        <w:rPr>
          <w:sz w:val="28"/>
          <w:szCs w:val="28"/>
          <w:u w:val="single"/>
        </w:rPr>
        <w:tab/>
      </w:r>
      <w:r w:rsidR="00D46AD5">
        <w:rPr>
          <w:sz w:val="28"/>
          <w:szCs w:val="28"/>
          <w:u w:val="single"/>
        </w:rPr>
        <w:tab/>
      </w:r>
      <w:r w:rsidR="00D46AD5" w:rsidRPr="00D46AD5">
        <w:rPr>
          <w:sz w:val="28"/>
          <w:szCs w:val="28"/>
        </w:rPr>
        <w:t xml:space="preserve"> =</w:t>
      </w:r>
      <w:r w:rsidR="00D46AD5">
        <w:rPr>
          <w:sz w:val="28"/>
          <w:szCs w:val="28"/>
        </w:rPr>
        <w:t xml:space="preserve">  </w:t>
      </w:r>
    </w:p>
    <w:p w:rsidR="00D46AD5" w:rsidRPr="00D46AD5" w:rsidRDefault="00D46AD5" w:rsidP="00D46AD5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‘1 – (1+0,05) </w:t>
      </w:r>
      <w:r w:rsidRPr="00D46AD5">
        <w:rPr>
          <w:sz w:val="24"/>
          <w:szCs w:val="24"/>
        </w:rPr>
        <w:t>puissance -4</w:t>
      </w:r>
    </w:p>
    <w:p w:rsidR="0077407E" w:rsidRPr="00040229" w:rsidRDefault="0077407E" w:rsidP="0077407E">
      <w:pPr>
        <w:pStyle w:val="Paragraphedeliste"/>
        <w:rPr>
          <w:sz w:val="16"/>
          <w:szCs w:val="16"/>
        </w:rPr>
      </w:pPr>
    </w:p>
    <w:p w:rsidR="0077407E" w:rsidRDefault="0077407E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>Calcul de l’intérêt annuel</w:t>
      </w:r>
      <w:r w:rsidRPr="00C664C7">
        <w:rPr>
          <w:sz w:val="28"/>
          <w:szCs w:val="28"/>
        </w:rPr>
        <w:t xml:space="preserve"> = restant dû en début de période x taux d’intérêt</w:t>
      </w:r>
    </w:p>
    <w:p w:rsidR="0077407E" w:rsidRPr="00040229" w:rsidRDefault="0077407E" w:rsidP="0077407E">
      <w:pPr>
        <w:pStyle w:val="Paragraphedeliste"/>
        <w:rPr>
          <w:sz w:val="16"/>
          <w:szCs w:val="16"/>
        </w:rPr>
      </w:pPr>
    </w:p>
    <w:p w:rsidR="0077407E" w:rsidRDefault="0077407E" w:rsidP="0077407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Soit intérêt 1</w:t>
      </w:r>
      <w:r w:rsidRPr="00C664C7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période = </w:t>
      </w:r>
    </w:p>
    <w:p w:rsidR="0077407E" w:rsidRDefault="0077407E" w:rsidP="0077407E">
      <w:pPr>
        <w:pStyle w:val="Paragraphedeliste"/>
        <w:rPr>
          <w:sz w:val="28"/>
          <w:szCs w:val="28"/>
        </w:rPr>
      </w:pPr>
    </w:p>
    <w:p w:rsidR="0077407E" w:rsidRDefault="0077407E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Calcul de l’amortissement compris dans l’intérêt</w:t>
      </w:r>
      <w:r w:rsidRPr="00C664C7">
        <w:rPr>
          <w:sz w:val="28"/>
          <w:szCs w:val="28"/>
        </w:rPr>
        <w:t xml:space="preserve"> = </w:t>
      </w:r>
      <w:r>
        <w:rPr>
          <w:sz w:val="28"/>
          <w:szCs w:val="28"/>
        </w:rPr>
        <w:t>annuité constante  - intérêt annuel</w:t>
      </w:r>
    </w:p>
    <w:p w:rsidR="0077407E" w:rsidRDefault="0077407E" w:rsidP="0077407E">
      <w:pPr>
        <w:pStyle w:val="Paragraphedeliste"/>
        <w:rPr>
          <w:sz w:val="28"/>
          <w:szCs w:val="28"/>
        </w:rPr>
      </w:pPr>
    </w:p>
    <w:p w:rsidR="0077407E" w:rsidRDefault="0077407E" w:rsidP="0077407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Soit Amortissement  1</w:t>
      </w:r>
      <w:r w:rsidRPr="00C664C7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année = </w:t>
      </w:r>
    </w:p>
    <w:p w:rsidR="0077407E" w:rsidRPr="001A14E5" w:rsidRDefault="0077407E" w:rsidP="0077407E">
      <w:pPr>
        <w:pStyle w:val="Paragraphedeliste"/>
        <w:rPr>
          <w:sz w:val="16"/>
          <w:szCs w:val="16"/>
        </w:rPr>
      </w:pPr>
    </w:p>
    <w:p w:rsidR="0077407E" w:rsidRPr="00040229" w:rsidRDefault="0077407E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 xml:space="preserve">Calcul du capital restant du en fin de période </w:t>
      </w:r>
      <w:r>
        <w:rPr>
          <w:b/>
          <w:sz w:val="28"/>
          <w:szCs w:val="28"/>
          <w:u w:val="single"/>
        </w:rPr>
        <w:t xml:space="preserve"> =</w:t>
      </w:r>
      <w:r w:rsidRPr="00040229">
        <w:rPr>
          <w:sz w:val="28"/>
          <w:szCs w:val="28"/>
        </w:rPr>
        <w:t>restant dû en début de période – amortissement de la période</w:t>
      </w:r>
    </w:p>
    <w:p w:rsidR="00D35A74" w:rsidRDefault="00D35A74" w:rsidP="0077407E">
      <w:pPr>
        <w:pStyle w:val="Paragraphedeliste"/>
        <w:rPr>
          <w:sz w:val="28"/>
          <w:szCs w:val="28"/>
        </w:rPr>
      </w:pPr>
    </w:p>
    <w:p w:rsidR="0077407E" w:rsidRDefault="0077407E" w:rsidP="0077407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Soit </w:t>
      </w:r>
      <w:r w:rsidRPr="00040229">
        <w:rPr>
          <w:sz w:val="28"/>
          <w:szCs w:val="28"/>
        </w:rPr>
        <w:t xml:space="preserve">restant dû en </w:t>
      </w:r>
      <w:r>
        <w:rPr>
          <w:sz w:val="28"/>
          <w:szCs w:val="28"/>
        </w:rPr>
        <w:t xml:space="preserve">fin </w:t>
      </w:r>
      <w:r w:rsidRPr="00040229">
        <w:rPr>
          <w:sz w:val="28"/>
          <w:szCs w:val="28"/>
        </w:rPr>
        <w:t>de période</w:t>
      </w:r>
      <w:r>
        <w:rPr>
          <w:sz w:val="28"/>
          <w:szCs w:val="28"/>
        </w:rPr>
        <w:t xml:space="preserve"> </w:t>
      </w:r>
      <w:r w:rsidR="00D35A74">
        <w:rPr>
          <w:sz w:val="28"/>
          <w:szCs w:val="28"/>
        </w:rPr>
        <w:t xml:space="preserve">= </w:t>
      </w:r>
    </w:p>
    <w:p w:rsidR="00D35A74" w:rsidRDefault="00D35A74" w:rsidP="0077407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Ce montant est repris en début de période suivante</w:t>
      </w:r>
    </w:p>
    <w:p w:rsidR="00D35A74" w:rsidRDefault="00D35A74" w:rsidP="0077407E">
      <w:pPr>
        <w:pStyle w:val="Paragraphedeliste"/>
        <w:rPr>
          <w:sz w:val="28"/>
          <w:szCs w:val="28"/>
        </w:rPr>
      </w:pPr>
    </w:p>
    <w:p w:rsidR="0077407E" w:rsidRPr="001A14E5" w:rsidRDefault="0077407E" w:rsidP="0077407E">
      <w:pPr>
        <w:pStyle w:val="Paragraphedeliste"/>
        <w:rPr>
          <w:sz w:val="16"/>
          <w:szCs w:val="16"/>
        </w:rPr>
      </w:pPr>
    </w:p>
    <w:p w:rsidR="0077407E" w:rsidRPr="00E219E3" w:rsidRDefault="0077407E" w:rsidP="00126647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E219E3">
        <w:rPr>
          <w:b/>
          <w:sz w:val="28"/>
          <w:szCs w:val="28"/>
          <w:u w:val="single"/>
        </w:rPr>
        <w:t xml:space="preserve">Calcul des frais : </w:t>
      </w:r>
    </w:p>
    <w:p w:rsidR="0077407E" w:rsidRDefault="0077407E" w:rsidP="0077407E">
      <w:pPr>
        <w:pStyle w:val="Paragraphedeliste"/>
        <w:rPr>
          <w:sz w:val="28"/>
          <w:szCs w:val="28"/>
        </w:rPr>
      </w:pPr>
      <w:proofErr w:type="gramStart"/>
      <w:r w:rsidRPr="00E219E3">
        <w:rPr>
          <w:sz w:val="28"/>
          <w:szCs w:val="28"/>
          <w:u w:val="single"/>
        </w:rPr>
        <w:t>frais</w:t>
      </w:r>
      <w:proofErr w:type="gramEnd"/>
      <w:r w:rsidRPr="00E219E3">
        <w:rPr>
          <w:sz w:val="28"/>
          <w:szCs w:val="28"/>
          <w:u w:val="single"/>
        </w:rPr>
        <w:t xml:space="preserve"> de dossier</w:t>
      </w:r>
      <w:r w:rsidRPr="00E219E3">
        <w:rPr>
          <w:sz w:val="28"/>
          <w:szCs w:val="28"/>
        </w:rPr>
        <w:t> : en général forfaitaire</w:t>
      </w:r>
    </w:p>
    <w:p w:rsidR="0077407E" w:rsidRDefault="0077407E" w:rsidP="0077407E">
      <w:pPr>
        <w:pStyle w:val="Paragraphedeliste"/>
        <w:rPr>
          <w:sz w:val="28"/>
          <w:szCs w:val="28"/>
        </w:rPr>
      </w:pPr>
      <w:proofErr w:type="gramStart"/>
      <w:r w:rsidRPr="00E219E3">
        <w:rPr>
          <w:sz w:val="28"/>
          <w:szCs w:val="28"/>
          <w:u w:val="single"/>
        </w:rPr>
        <w:t>frais</w:t>
      </w:r>
      <w:proofErr w:type="gramEnd"/>
      <w:r w:rsidRPr="00E219E3">
        <w:rPr>
          <w:sz w:val="28"/>
          <w:szCs w:val="28"/>
          <w:u w:val="single"/>
        </w:rPr>
        <w:t xml:space="preserve"> d</w:t>
      </w:r>
      <w:r>
        <w:rPr>
          <w:sz w:val="28"/>
          <w:szCs w:val="28"/>
          <w:u w:val="single"/>
        </w:rPr>
        <w:t>’assurance annuel</w:t>
      </w:r>
      <w:r w:rsidRPr="00E219E3">
        <w:rPr>
          <w:sz w:val="28"/>
          <w:szCs w:val="28"/>
        </w:rPr>
        <w:t> </w:t>
      </w:r>
      <w:r>
        <w:rPr>
          <w:sz w:val="28"/>
          <w:szCs w:val="28"/>
        </w:rPr>
        <w:t xml:space="preserve">= capital emprunté  x taux </w:t>
      </w:r>
    </w:p>
    <w:p w:rsidR="00655E43" w:rsidRPr="00EF3856" w:rsidRDefault="00655E43" w:rsidP="00655E43">
      <w:pPr>
        <w:jc w:val="center"/>
        <w:rPr>
          <w:b/>
          <w:sz w:val="28"/>
          <w:szCs w:val="28"/>
          <w:u w:val="single"/>
        </w:rPr>
      </w:pPr>
      <w:r w:rsidRPr="00EF3856">
        <w:rPr>
          <w:b/>
          <w:sz w:val="28"/>
          <w:szCs w:val="28"/>
          <w:u w:val="single"/>
        </w:rPr>
        <w:t>Tableau d</w:t>
      </w:r>
      <w:r>
        <w:rPr>
          <w:b/>
          <w:sz w:val="28"/>
          <w:szCs w:val="28"/>
          <w:u w:val="single"/>
        </w:rPr>
        <w:t>’amortissement de l’emprunt (</w:t>
      </w:r>
      <w:r w:rsidRPr="00EF3856">
        <w:rPr>
          <w:b/>
          <w:sz w:val="28"/>
          <w:szCs w:val="28"/>
          <w:u w:val="single"/>
        </w:rPr>
        <w:t>sans les frais)</w:t>
      </w:r>
      <w:r>
        <w:rPr>
          <w:b/>
          <w:sz w:val="28"/>
          <w:szCs w:val="28"/>
          <w:u w:val="single"/>
        </w:rPr>
        <w:t xml:space="preserve"> par annuités constantes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60"/>
        <w:gridCol w:w="1851"/>
        <w:gridCol w:w="1762"/>
        <w:gridCol w:w="1754"/>
        <w:gridCol w:w="2009"/>
        <w:gridCol w:w="1852"/>
      </w:tblGrid>
      <w:tr w:rsidR="00655E43" w:rsidTr="00D653E5">
        <w:tc>
          <w:tcPr>
            <w:tcW w:w="1760" w:type="dxa"/>
            <w:vAlign w:val="center"/>
          </w:tcPr>
          <w:p w:rsidR="00655E43" w:rsidRPr="00B6691C" w:rsidRDefault="00655E43" w:rsidP="00D653E5">
            <w:pPr>
              <w:jc w:val="center"/>
              <w:rPr>
                <w:b/>
                <w:sz w:val="24"/>
                <w:szCs w:val="24"/>
              </w:rPr>
            </w:pPr>
            <w:r w:rsidRPr="00B6691C">
              <w:rPr>
                <w:b/>
                <w:sz w:val="24"/>
                <w:szCs w:val="24"/>
              </w:rPr>
              <w:t>Période</w:t>
            </w:r>
          </w:p>
        </w:tc>
        <w:tc>
          <w:tcPr>
            <w:tcW w:w="1851" w:type="dxa"/>
          </w:tcPr>
          <w:p w:rsidR="00655E43" w:rsidRPr="00B6691C" w:rsidRDefault="00655E43" w:rsidP="00D65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Restant du en début de période</w:t>
            </w:r>
          </w:p>
        </w:tc>
        <w:tc>
          <w:tcPr>
            <w:tcW w:w="1762" w:type="dxa"/>
            <w:vAlign w:val="center"/>
          </w:tcPr>
          <w:p w:rsidR="00655E43" w:rsidRPr="00B6691C" w:rsidRDefault="00655E43" w:rsidP="00D65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Intérêt</w:t>
            </w:r>
          </w:p>
        </w:tc>
        <w:tc>
          <w:tcPr>
            <w:tcW w:w="1754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Amortissement</w:t>
            </w:r>
          </w:p>
          <w:p w:rsidR="00655E43" w:rsidRDefault="00655E43" w:rsidP="00D65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V°/N</w:t>
            </w:r>
          </w:p>
        </w:tc>
        <w:tc>
          <w:tcPr>
            <w:tcW w:w="2009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annuités  hors assurances</w:t>
            </w:r>
          </w:p>
        </w:tc>
        <w:tc>
          <w:tcPr>
            <w:tcW w:w="1852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Restant du en fin de période</w:t>
            </w:r>
          </w:p>
        </w:tc>
      </w:tr>
      <w:tr w:rsidR="00655E43" w:rsidRPr="007B2A8B" w:rsidTr="00D653E5">
        <w:tc>
          <w:tcPr>
            <w:tcW w:w="1760" w:type="dxa"/>
          </w:tcPr>
          <w:p w:rsidR="00655E43" w:rsidRPr="00711004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655E43" w:rsidRPr="007B2A8B" w:rsidRDefault="00655E43" w:rsidP="00D65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</w:tcPr>
          <w:p w:rsidR="00655E43" w:rsidRPr="007B2A8B" w:rsidRDefault="00655E43" w:rsidP="00D653E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 = A x I</w:t>
            </w:r>
          </w:p>
        </w:tc>
        <w:tc>
          <w:tcPr>
            <w:tcW w:w="1754" w:type="dxa"/>
          </w:tcPr>
          <w:p w:rsidR="00655E43" w:rsidRPr="007B2A8B" w:rsidRDefault="00655E43" w:rsidP="00D653E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 = D – B</w:t>
            </w:r>
          </w:p>
        </w:tc>
        <w:tc>
          <w:tcPr>
            <w:tcW w:w="2009" w:type="dxa"/>
          </w:tcPr>
          <w:p w:rsidR="00655E43" w:rsidRPr="007B2A8B" w:rsidRDefault="00655E43" w:rsidP="00D653E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 =  B + C</w:t>
            </w:r>
          </w:p>
        </w:tc>
        <w:tc>
          <w:tcPr>
            <w:tcW w:w="1852" w:type="dxa"/>
          </w:tcPr>
          <w:p w:rsidR="00655E43" w:rsidRPr="007B2A8B" w:rsidRDefault="00655E43" w:rsidP="00D65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7B2A8B">
              <w:rPr>
                <w:b/>
                <w:sz w:val="20"/>
                <w:szCs w:val="20"/>
              </w:rPr>
              <w:t xml:space="preserve"> = A -</w:t>
            </w:r>
            <w:r>
              <w:rPr>
                <w:b/>
                <w:sz w:val="20"/>
                <w:szCs w:val="20"/>
              </w:rPr>
              <w:t>C</w:t>
            </w:r>
          </w:p>
        </w:tc>
      </w:tr>
      <w:tr w:rsidR="00655E43" w:rsidRPr="007E585B" w:rsidTr="00D653E5">
        <w:trPr>
          <w:trHeight w:val="340"/>
        </w:trPr>
        <w:tc>
          <w:tcPr>
            <w:tcW w:w="1760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655E43" w:rsidRPr="007B2A8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5E43" w:rsidRPr="007E585B" w:rsidTr="00D653E5">
        <w:tc>
          <w:tcPr>
            <w:tcW w:w="1760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655E43" w:rsidRPr="007B2A8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5E43" w:rsidRPr="007E585B" w:rsidTr="00D653E5">
        <w:tc>
          <w:tcPr>
            <w:tcW w:w="1760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5E43" w:rsidRPr="007E585B" w:rsidTr="00D653E5">
        <w:tc>
          <w:tcPr>
            <w:tcW w:w="1760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55E43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655E43" w:rsidRPr="007E585B" w:rsidRDefault="00655E43" w:rsidP="00D653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114A06">
      <w:pPr>
        <w:jc w:val="center"/>
        <w:rPr>
          <w:b/>
          <w:sz w:val="28"/>
          <w:szCs w:val="28"/>
          <w:u w:val="single"/>
        </w:rPr>
      </w:pPr>
    </w:p>
    <w:p w:rsidR="00655E43" w:rsidRDefault="00655E43" w:rsidP="00655E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CORRIGE</w:t>
      </w:r>
    </w:p>
    <w:p w:rsidR="00655E43" w:rsidRPr="00D25192" w:rsidRDefault="00655E43" w:rsidP="00655E43">
      <w:pPr>
        <w:jc w:val="both"/>
        <w:rPr>
          <w:b/>
          <w:sz w:val="28"/>
          <w:szCs w:val="28"/>
          <w:u w:val="single"/>
        </w:rPr>
      </w:pPr>
      <w:r w:rsidRPr="00D25192">
        <w:rPr>
          <w:b/>
          <w:sz w:val="28"/>
          <w:szCs w:val="28"/>
          <w:u w:val="single"/>
        </w:rPr>
        <w:t>Calcul de l’annuité constante</w:t>
      </w:r>
    </w:p>
    <w:p w:rsidR="00655E43" w:rsidRDefault="00655E43" w:rsidP="00655E43">
      <w:pPr>
        <w:jc w:val="both"/>
        <w:rPr>
          <w:sz w:val="28"/>
          <w:szCs w:val="28"/>
        </w:rPr>
      </w:pPr>
      <w:r w:rsidRPr="00D25192">
        <w:rPr>
          <w:sz w:val="28"/>
          <w:szCs w:val="28"/>
        </w:rPr>
        <w:t>Il est établi à partir de la valeur actuelle de l’emprunt V</w:t>
      </w:r>
      <w:proofErr w:type="gramStart"/>
      <w:r w:rsidRPr="00D25192">
        <w:rPr>
          <w:sz w:val="28"/>
          <w:szCs w:val="28"/>
        </w:rPr>
        <w:t>°</w:t>
      </w:r>
      <w:r>
        <w:rPr>
          <w:sz w:val="28"/>
          <w:szCs w:val="28"/>
        </w:rPr>
        <w:t> ,</w:t>
      </w:r>
      <w:proofErr w:type="gramEnd"/>
      <w:r>
        <w:rPr>
          <w:sz w:val="28"/>
          <w:szCs w:val="28"/>
        </w:rPr>
        <w:t xml:space="preserve"> soit :</w:t>
      </w:r>
    </w:p>
    <w:p w:rsidR="00655E43" w:rsidRDefault="00655E43" w:rsidP="00655E43">
      <w:pPr>
        <w:jc w:val="both"/>
        <w:rPr>
          <w:sz w:val="28"/>
          <w:szCs w:val="28"/>
        </w:rPr>
      </w:pPr>
      <w:r>
        <w:rPr>
          <w:sz w:val="28"/>
          <w:szCs w:val="28"/>
        </w:rPr>
        <w:t>V°  x   i</w:t>
      </w:r>
      <w:r w:rsidRPr="00D25192">
        <w:rPr>
          <w:sz w:val="28"/>
          <w:szCs w:val="28"/>
          <w:u w:val="single"/>
        </w:rPr>
        <w:t>I (taux d’intérêt)</w:t>
      </w:r>
    </w:p>
    <w:p w:rsidR="00655E43" w:rsidRDefault="00655E43" w:rsidP="00655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‘1 – (1+i) puissance -n</w:t>
      </w:r>
    </w:p>
    <w:p w:rsidR="00655E43" w:rsidRDefault="00655E43" w:rsidP="00655E43">
      <w:pPr>
        <w:jc w:val="both"/>
        <w:rPr>
          <w:sz w:val="28"/>
          <w:szCs w:val="28"/>
        </w:rPr>
      </w:pPr>
    </w:p>
    <w:p w:rsidR="00655E43" w:rsidRPr="00D46AD5" w:rsidRDefault="00655E43" w:rsidP="00655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Soit dans l’exemple : 10 000 </w:t>
      </w:r>
      <w:r w:rsidRPr="00D46AD5">
        <w:rPr>
          <w:sz w:val="28"/>
          <w:szCs w:val="28"/>
        </w:rPr>
        <w:t xml:space="preserve">x      </w:t>
      </w:r>
      <w:r>
        <w:rPr>
          <w:sz w:val="28"/>
          <w:szCs w:val="28"/>
        </w:rPr>
        <w:t xml:space="preserve">   </w:t>
      </w:r>
      <w:r w:rsidRPr="00D46AD5">
        <w:rPr>
          <w:sz w:val="28"/>
          <w:szCs w:val="28"/>
        </w:rPr>
        <w:tab/>
      </w:r>
      <w:r w:rsidRPr="00D46AD5">
        <w:rPr>
          <w:sz w:val="28"/>
          <w:szCs w:val="28"/>
          <w:u w:val="single"/>
        </w:rPr>
        <w:t xml:space="preserve">     0,05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46AD5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2 820,12 €</w:t>
      </w:r>
    </w:p>
    <w:p w:rsidR="00655E43" w:rsidRPr="00D46AD5" w:rsidRDefault="00655E43" w:rsidP="00655E43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‘1 – (1+0,05) </w:t>
      </w:r>
      <w:r w:rsidRPr="00D46AD5">
        <w:rPr>
          <w:sz w:val="24"/>
          <w:szCs w:val="24"/>
        </w:rPr>
        <w:t>puissance -4</w:t>
      </w:r>
    </w:p>
    <w:p w:rsidR="00655E43" w:rsidRPr="00040229" w:rsidRDefault="00655E43" w:rsidP="00655E43">
      <w:pPr>
        <w:pStyle w:val="Paragraphedeliste"/>
        <w:rPr>
          <w:sz w:val="16"/>
          <w:szCs w:val="16"/>
        </w:rPr>
      </w:pPr>
    </w:p>
    <w:p w:rsidR="00655E43" w:rsidRDefault="00655E43" w:rsidP="00655E43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>Calcul de l’intérêt annuel</w:t>
      </w:r>
      <w:r w:rsidRPr="00C664C7">
        <w:rPr>
          <w:sz w:val="28"/>
          <w:szCs w:val="28"/>
        </w:rPr>
        <w:t xml:space="preserve"> = restant dû en début de période x taux d’intérêt</w:t>
      </w:r>
    </w:p>
    <w:p w:rsidR="00655E43" w:rsidRPr="00040229" w:rsidRDefault="00655E43" w:rsidP="00655E43">
      <w:pPr>
        <w:pStyle w:val="Paragraphedeliste"/>
        <w:rPr>
          <w:sz w:val="16"/>
          <w:szCs w:val="16"/>
        </w:rPr>
      </w:pPr>
    </w:p>
    <w:p w:rsidR="00655E43" w:rsidRDefault="00655E43" w:rsidP="00655E4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Soit intérêt 1</w:t>
      </w:r>
      <w:r w:rsidRPr="00C664C7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période = 10 000 x 5 % = 500 €</w:t>
      </w:r>
    </w:p>
    <w:p w:rsidR="00655E43" w:rsidRDefault="00655E43" w:rsidP="00655E43">
      <w:pPr>
        <w:pStyle w:val="Paragraphedeliste"/>
        <w:rPr>
          <w:sz w:val="28"/>
          <w:szCs w:val="28"/>
        </w:rPr>
      </w:pPr>
    </w:p>
    <w:p w:rsidR="00655E43" w:rsidRDefault="00655E43" w:rsidP="00655E43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Calcul de l’amortissement compris dans l’intérêt</w:t>
      </w:r>
      <w:r w:rsidRPr="00C664C7">
        <w:rPr>
          <w:sz w:val="28"/>
          <w:szCs w:val="28"/>
        </w:rPr>
        <w:t xml:space="preserve"> = </w:t>
      </w:r>
      <w:r>
        <w:rPr>
          <w:sz w:val="28"/>
          <w:szCs w:val="28"/>
        </w:rPr>
        <w:t>annuité constante  - intérêt annuel</w:t>
      </w:r>
    </w:p>
    <w:p w:rsidR="00655E43" w:rsidRDefault="00655E43" w:rsidP="00655E43">
      <w:pPr>
        <w:pStyle w:val="Paragraphedeliste"/>
        <w:rPr>
          <w:sz w:val="28"/>
          <w:szCs w:val="28"/>
        </w:rPr>
      </w:pPr>
    </w:p>
    <w:p w:rsidR="00655E43" w:rsidRDefault="00655E43" w:rsidP="00655E4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Soit Amortissement  1</w:t>
      </w:r>
      <w:r w:rsidRPr="00C664C7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année = 2 820,12 – 500 =2 320,12 </w:t>
      </w:r>
    </w:p>
    <w:p w:rsidR="00655E43" w:rsidRDefault="00655E43" w:rsidP="00655E43">
      <w:pPr>
        <w:pStyle w:val="Paragraphedeliste"/>
        <w:rPr>
          <w:sz w:val="28"/>
          <w:szCs w:val="28"/>
        </w:rPr>
      </w:pPr>
    </w:p>
    <w:p w:rsidR="00655E43" w:rsidRPr="001A14E5" w:rsidRDefault="00655E43" w:rsidP="00655E43">
      <w:pPr>
        <w:pStyle w:val="Paragraphedeliste"/>
        <w:rPr>
          <w:sz w:val="16"/>
          <w:szCs w:val="16"/>
        </w:rPr>
      </w:pPr>
    </w:p>
    <w:p w:rsidR="00655E43" w:rsidRPr="00040229" w:rsidRDefault="00655E43" w:rsidP="00655E43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040229">
        <w:rPr>
          <w:b/>
          <w:sz w:val="28"/>
          <w:szCs w:val="28"/>
          <w:u w:val="single"/>
        </w:rPr>
        <w:t xml:space="preserve">Calcul du capital restant du en fin de période </w:t>
      </w:r>
      <w:r>
        <w:rPr>
          <w:b/>
          <w:sz w:val="28"/>
          <w:szCs w:val="28"/>
          <w:u w:val="single"/>
        </w:rPr>
        <w:t xml:space="preserve"> =</w:t>
      </w:r>
      <w:r w:rsidRPr="00040229">
        <w:rPr>
          <w:sz w:val="28"/>
          <w:szCs w:val="28"/>
        </w:rPr>
        <w:t>restant dû en début de période – amortissement de la période</w:t>
      </w:r>
    </w:p>
    <w:p w:rsidR="00655E43" w:rsidRDefault="00655E43" w:rsidP="00655E43">
      <w:pPr>
        <w:pStyle w:val="Paragraphedeliste"/>
        <w:rPr>
          <w:sz w:val="28"/>
          <w:szCs w:val="28"/>
        </w:rPr>
      </w:pPr>
    </w:p>
    <w:p w:rsidR="00655E43" w:rsidRDefault="00655E43" w:rsidP="00655E4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Soit </w:t>
      </w:r>
      <w:r w:rsidRPr="00040229">
        <w:rPr>
          <w:sz w:val="28"/>
          <w:szCs w:val="28"/>
        </w:rPr>
        <w:t xml:space="preserve">restant dû en </w:t>
      </w:r>
      <w:r>
        <w:rPr>
          <w:sz w:val="28"/>
          <w:szCs w:val="28"/>
        </w:rPr>
        <w:t xml:space="preserve">fin </w:t>
      </w:r>
      <w:r w:rsidRPr="00040229">
        <w:rPr>
          <w:sz w:val="28"/>
          <w:szCs w:val="28"/>
        </w:rPr>
        <w:t>de période</w:t>
      </w:r>
      <w:r>
        <w:rPr>
          <w:sz w:val="28"/>
          <w:szCs w:val="28"/>
        </w:rPr>
        <w:t xml:space="preserve"> = 10 000 – 2 320,12 = 7 679,88</w:t>
      </w:r>
    </w:p>
    <w:p w:rsidR="00655E43" w:rsidRDefault="00655E43" w:rsidP="00655E4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Ce montant est repris en début de période suivante</w:t>
      </w:r>
    </w:p>
    <w:p w:rsidR="00655E43" w:rsidRPr="001A14E5" w:rsidRDefault="00655E43" w:rsidP="00655E43">
      <w:pPr>
        <w:pStyle w:val="Paragraphedeliste"/>
        <w:rPr>
          <w:sz w:val="16"/>
          <w:szCs w:val="16"/>
        </w:rPr>
      </w:pPr>
    </w:p>
    <w:p w:rsidR="00655E43" w:rsidRPr="00E219E3" w:rsidRDefault="00655E43" w:rsidP="00655E43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E219E3">
        <w:rPr>
          <w:b/>
          <w:sz w:val="28"/>
          <w:szCs w:val="28"/>
          <w:u w:val="single"/>
        </w:rPr>
        <w:t xml:space="preserve">Calcul des frais : </w:t>
      </w:r>
    </w:p>
    <w:p w:rsidR="00655E43" w:rsidRDefault="00655E43" w:rsidP="00655E43">
      <w:pPr>
        <w:pStyle w:val="Paragraphedeliste"/>
        <w:rPr>
          <w:sz w:val="28"/>
          <w:szCs w:val="28"/>
        </w:rPr>
      </w:pPr>
      <w:proofErr w:type="gramStart"/>
      <w:r w:rsidRPr="00E219E3">
        <w:rPr>
          <w:sz w:val="28"/>
          <w:szCs w:val="28"/>
          <w:u w:val="single"/>
        </w:rPr>
        <w:t>frais</w:t>
      </w:r>
      <w:proofErr w:type="gramEnd"/>
      <w:r w:rsidRPr="00E219E3">
        <w:rPr>
          <w:sz w:val="28"/>
          <w:szCs w:val="28"/>
          <w:u w:val="single"/>
        </w:rPr>
        <w:t xml:space="preserve"> de dossier</w:t>
      </w:r>
      <w:r w:rsidRPr="00E219E3">
        <w:rPr>
          <w:sz w:val="28"/>
          <w:szCs w:val="28"/>
        </w:rPr>
        <w:t> : en général forfaitaire</w:t>
      </w:r>
    </w:p>
    <w:p w:rsidR="00655E43" w:rsidRDefault="00655E43" w:rsidP="00655E43">
      <w:pPr>
        <w:pStyle w:val="Paragraphedeliste"/>
        <w:rPr>
          <w:sz w:val="28"/>
          <w:szCs w:val="28"/>
        </w:rPr>
      </w:pPr>
      <w:proofErr w:type="gramStart"/>
      <w:r w:rsidRPr="00E219E3">
        <w:rPr>
          <w:sz w:val="28"/>
          <w:szCs w:val="28"/>
          <w:u w:val="single"/>
        </w:rPr>
        <w:t>frais</w:t>
      </w:r>
      <w:proofErr w:type="gramEnd"/>
      <w:r w:rsidRPr="00E219E3">
        <w:rPr>
          <w:sz w:val="28"/>
          <w:szCs w:val="28"/>
          <w:u w:val="single"/>
        </w:rPr>
        <w:t xml:space="preserve"> d</w:t>
      </w:r>
      <w:r>
        <w:rPr>
          <w:sz w:val="28"/>
          <w:szCs w:val="28"/>
          <w:u w:val="single"/>
        </w:rPr>
        <w:t>’assurance annuel</w:t>
      </w:r>
      <w:r w:rsidRPr="00E219E3">
        <w:rPr>
          <w:sz w:val="28"/>
          <w:szCs w:val="28"/>
        </w:rPr>
        <w:t> </w:t>
      </w:r>
      <w:r>
        <w:rPr>
          <w:sz w:val="28"/>
          <w:szCs w:val="28"/>
        </w:rPr>
        <w:t xml:space="preserve">= capital emprunté  x taux </w:t>
      </w:r>
    </w:p>
    <w:p w:rsidR="00114A06" w:rsidRPr="00EF3856" w:rsidRDefault="00114A06" w:rsidP="00114A06">
      <w:pPr>
        <w:jc w:val="center"/>
        <w:rPr>
          <w:b/>
          <w:sz w:val="28"/>
          <w:szCs w:val="28"/>
          <w:u w:val="single"/>
        </w:rPr>
      </w:pPr>
      <w:r w:rsidRPr="00EF3856">
        <w:rPr>
          <w:b/>
          <w:sz w:val="28"/>
          <w:szCs w:val="28"/>
          <w:u w:val="single"/>
        </w:rPr>
        <w:lastRenderedPageBreak/>
        <w:t>Tableau d</w:t>
      </w:r>
      <w:r>
        <w:rPr>
          <w:b/>
          <w:sz w:val="28"/>
          <w:szCs w:val="28"/>
          <w:u w:val="single"/>
        </w:rPr>
        <w:t>’amortissement de l’emprunt (</w:t>
      </w:r>
      <w:r w:rsidRPr="00EF3856">
        <w:rPr>
          <w:b/>
          <w:sz w:val="28"/>
          <w:szCs w:val="28"/>
          <w:u w:val="single"/>
        </w:rPr>
        <w:t>sans les frais)</w:t>
      </w:r>
      <w:r w:rsidR="00A61F92">
        <w:rPr>
          <w:b/>
          <w:sz w:val="28"/>
          <w:szCs w:val="28"/>
          <w:u w:val="single"/>
        </w:rPr>
        <w:t xml:space="preserve"> par annuités constantes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60"/>
        <w:gridCol w:w="1851"/>
        <w:gridCol w:w="1762"/>
        <w:gridCol w:w="1754"/>
        <w:gridCol w:w="2009"/>
        <w:gridCol w:w="1852"/>
      </w:tblGrid>
      <w:tr w:rsidR="00114A06" w:rsidTr="00114A06">
        <w:tc>
          <w:tcPr>
            <w:tcW w:w="1760" w:type="dxa"/>
            <w:vAlign w:val="center"/>
          </w:tcPr>
          <w:p w:rsidR="00114A06" w:rsidRPr="00B6691C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 w:rsidRPr="00B6691C">
              <w:rPr>
                <w:b/>
                <w:sz w:val="24"/>
                <w:szCs w:val="24"/>
              </w:rPr>
              <w:t>Période</w:t>
            </w:r>
          </w:p>
        </w:tc>
        <w:tc>
          <w:tcPr>
            <w:tcW w:w="1851" w:type="dxa"/>
          </w:tcPr>
          <w:p w:rsidR="00114A06" w:rsidRPr="00B6691C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Restant du en début de période</w:t>
            </w:r>
          </w:p>
        </w:tc>
        <w:tc>
          <w:tcPr>
            <w:tcW w:w="1762" w:type="dxa"/>
            <w:vAlign w:val="center"/>
          </w:tcPr>
          <w:p w:rsidR="00114A06" w:rsidRPr="00B6691C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Intérêt</w:t>
            </w:r>
          </w:p>
        </w:tc>
        <w:tc>
          <w:tcPr>
            <w:tcW w:w="1754" w:type="dxa"/>
          </w:tcPr>
          <w:p w:rsidR="00114A06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Amortissement</w:t>
            </w:r>
          </w:p>
          <w:p w:rsidR="00114A06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V°/N</w:t>
            </w:r>
          </w:p>
        </w:tc>
        <w:tc>
          <w:tcPr>
            <w:tcW w:w="2009" w:type="dxa"/>
          </w:tcPr>
          <w:p w:rsidR="00114A06" w:rsidRDefault="00114A06" w:rsidP="0095205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annuités  hors assurances</w:t>
            </w:r>
          </w:p>
        </w:tc>
        <w:tc>
          <w:tcPr>
            <w:tcW w:w="1852" w:type="dxa"/>
          </w:tcPr>
          <w:p w:rsidR="00114A06" w:rsidRDefault="00114A06" w:rsidP="0095205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Restant du en fin de période</w:t>
            </w:r>
          </w:p>
        </w:tc>
      </w:tr>
      <w:tr w:rsidR="00114A06" w:rsidRPr="007B2A8B" w:rsidTr="009E6E97">
        <w:tc>
          <w:tcPr>
            <w:tcW w:w="1760" w:type="dxa"/>
          </w:tcPr>
          <w:p w:rsidR="00114A06" w:rsidRPr="00711004" w:rsidRDefault="00114A06" w:rsidP="009520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114A06" w:rsidRPr="007B2A8B" w:rsidRDefault="00114A06" w:rsidP="009520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</w:tcPr>
          <w:p w:rsidR="00114A06" w:rsidRPr="007B2A8B" w:rsidRDefault="00114A06" w:rsidP="0095205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 = A x I</w:t>
            </w:r>
          </w:p>
        </w:tc>
        <w:tc>
          <w:tcPr>
            <w:tcW w:w="1754" w:type="dxa"/>
          </w:tcPr>
          <w:p w:rsidR="00114A06" w:rsidRPr="007B2A8B" w:rsidRDefault="00114A06" w:rsidP="0095205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 = D – B</w:t>
            </w:r>
          </w:p>
        </w:tc>
        <w:tc>
          <w:tcPr>
            <w:tcW w:w="2009" w:type="dxa"/>
          </w:tcPr>
          <w:p w:rsidR="00114A06" w:rsidRPr="007B2A8B" w:rsidRDefault="00114A06" w:rsidP="0095205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 =  B + C</w:t>
            </w:r>
          </w:p>
        </w:tc>
        <w:tc>
          <w:tcPr>
            <w:tcW w:w="1852" w:type="dxa"/>
          </w:tcPr>
          <w:p w:rsidR="00114A06" w:rsidRPr="007B2A8B" w:rsidRDefault="00114A06" w:rsidP="009520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7B2A8B">
              <w:rPr>
                <w:b/>
                <w:sz w:val="20"/>
                <w:szCs w:val="20"/>
              </w:rPr>
              <w:t xml:space="preserve"> = A -</w:t>
            </w:r>
            <w:r>
              <w:rPr>
                <w:b/>
                <w:sz w:val="20"/>
                <w:szCs w:val="20"/>
              </w:rPr>
              <w:t>C</w:t>
            </w:r>
          </w:p>
        </w:tc>
      </w:tr>
      <w:tr w:rsidR="00114A06" w:rsidRPr="007E585B" w:rsidTr="009E6E97">
        <w:trPr>
          <w:trHeight w:val="340"/>
        </w:trPr>
        <w:tc>
          <w:tcPr>
            <w:tcW w:w="1760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114A06" w:rsidRPr="007B2A8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762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4" w:type="dxa"/>
          </w:tcPr>
          <w:p w:rsidR="00114A06" w:rsidRDefault="00114A06" w:rsidP="0011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2 320,12</w:t>
            </w:r>
          </w:p>
        </w:tc>
        <w:tc>
          <w:tcPr>
            <w:tcW w:w="2009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2 820,12</w:t>
            </w:r>
          </w:p>
        </w:tc>
        <w:tc>
          <w:tcPr>
            <w:tcW w:w="1852" w:type="dxa"/>
          </w:tcPr>
          <w:p w:rsidR="00114A06" w:rsidRPr="007E585B" w:rsidRDefault="00114A06" w:rsidP="0011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7 679,88</w:t>
            </w:r>
          </w:p>
        </w:tc>
      </w:tr>
      <w:tr w:rsidR="00114A06" w:rsidRPr="007E585B" w:rsidTr="009E6E97">
        <w:tc>
          <w:tcPr>
            <w:tcW w:w="1760" w:type="dxa"/>
          </w:tcPr>
          <w:p w:rsidR="00114A06" w:rsidRDefault="00114A06" w:rsidP="0095205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14A06" w:rsidRPr="007B2A8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7 679,88</w:t>
            </w:r>
          </w:p>
        </w:tc>
        <w:tc>
          <w:tcPr>
            <w:tcW w:w="1762" w:type="dxa"/>
          </w:tcPr>
          <w:p w:rsidR="00114A06" w:rsidRPr="007E585B" w:rsidRDefault="00114A06" w:rsidP="0011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383,99</w:t>
            </w:r>
          </w:p>
        </w:tc>
        <w:tc>
          <w:tcPr>
            <w:tcW w:w="1754" w:type="dxa"/>
          </w:tcPr>
          <w:p w:rsidR="00114A06" w:rsidRDefault="00114A06" w:rsidP="0011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2 436,13</w:t>
            </w:r>
          </w:p>
        </w:tc>
        <w:tc>
          <w:tcPr>
            <w:tcW w:w="2009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2 820,12</w:t>
            </w:r>
          </w:p>
        </w:tc>
        <w:tc>
          <w:tcPr>
            <w:tcW w:w="1852" w:type="dxa"/>
          </w:tcPr>
          <w:p w:rsidR="00114A06" w:rsidRPr="007E585B" w:rsidRDefault="00114A06" w:rsidP="0011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5 243,75</w:t>
            </w:r>
          </w:p>
        </w:tc>
      </w:tr>
      <w:tr w:rsidR="00114A06" w:rsidRPr="007E585B" w:rsidTr="009E6E97">
        <w:tc>
          <w:tcPr>
            <w:tcW w:w="1760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5 243,75</w:t>
            </w:r>
          </w:p>
        </w:tc>
        <w:tc>
          <w:tcPr>
            <w:tcW w:w="1762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262,19</w:t>
            </w:r>
          </w:p>
        </w:tc>
        <w:tc>
          <w:tcPr>
            <w:tcW w:w="1754" w:type="dxa"/>
          </w:tcPr>
          <w:p w:rsidR="00114A06" w:rsidRDefault="00114A06" w:rsidP="0011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2 557,93</w:t>
            </w:r>
          </w:p>
        </w:tc>
        <w:tc>
          <w:tcPr>
            <w:tcW w:w="2009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2 820,12</w:t>
            </w:r>
          </w:p>
        </w:tc>
        <w:tc>
          <w:tcPr>
            <w:tcW w:w="1852" w:type="dxa"/>
          </w:tcPr>
          <w:p w:rsidR="00114A06" w:rsidRPr="007E585B" w:rsidRDefault="00114A06" w:rsidP="0011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2 685,82</w:t>
            </w:r>
          </w:p>
        </w:tc>
      </w:tr>
      <w:tr w:rsidR="00114A06" w:rsidRPr="007E585B" w:rsidTr="009E6E97">
        <w:tc>
          <w:tcPr>
            <w:tcW w:w="1760" w:type="dxa"/>
          </w:tcPr>
          <w:p w:rsidR="00114A06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2 685,82</w:t>
            </w:r>
          </w:p>
        </w:tc>
        <w:tc>
          <w:tcPr>
            <w:tcW w:w="1762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134,30</w:t>
            </w:r>
          </w:p>
        </w:tc>
        <w:tc>
          <w:tcPr>
            <w:tcW w:w="1754" w:type="dxa"/>
          </w:tcPr>
          <w:p w:rsidR="00114A06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2 685,82</w:t>
            </w:r>
          </w:p>
        </w:tc>
        <w:tc>
          <w:tcPr>
            <w:tcW w:w="2009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2 820,12</w:t>
            </w:r>
          </w:p>
        </w:tc>
        <w:tc>
          <w:tcPr>
            <w:tcW w:w="1852" w:type="dxa"/>
          </w:tcPr>
          <w:p w:rsidR="00114A06" w:rsidRPr="007E585B" w:rsidRDefault="00114A06" w:rsidP="00952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E6E97" w:rsidRPr="009E6E97" w:rsidRDefault="009E6E97" w:rsidP="0095205D">
      <w:pPr>
        <w:ind w:left="360"/>
        <w:rPr>
          <w:b/>
          <w:sz w:val="16"/>
          <w:szCs w:val="16"/>
          <w:u w:val="single"/>
        </w:rPr>
      </w:pPr>
    </w:p>
    <w:p w:rsidR="00D25192" w:rsidRDefault="0095205D" w:rsidP="0095205D">
      <w:pPr>
        <w:ind w:left="36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d</w:t>
      </w:r>
      <w:proofErr w:type="gramEnd"/>
      <w:r>
        <w:rPr>
          <w:b/>
          <w:sz w:val="32"/>
          <w:szCs w:val="32"/>
          <w:u w:val="single"/>
        </w:rPr>
        <w:t>/ Remboursement par mensualités, trimestrialité ou semestrialités</w:t>
      </w:r>
    </w:p>
    <w:p w:rsidR="0095205D" w:rsidRDefault="0095205D" w:rsidP="0095205D">
      <w:pPr>
        <w:rPr>
          <w:sz w:val="28"/>
          <w:szCs w:val="28"/>
        </w:rPr>
      </w:pPr>
      <w:r w:rsidRPr="0095205D">
        <w:rPr>
          <w:sz w:val="28"/>
          <w:szCs w:val="28"/>
        </w:rPr>
        <w:t>Pour calculer les taux d’intérêt correspondants</w:t>
      </w:r>
      <w:r>
        <w:rPr>
          <w:sz w:val="28"/>
          <w:szCs w:val="28"/>
        </w:rPr>
        <w:t xml:space="preserve"> à des périodes inférieures à l’année, on peut calculer un taux proportionnel ou un taux équivalent.</w:t>
      </w:r>
    </w:p>
    <w:p w:rsidR="0095205D" w:rsidRDefault="0095205D" w:rsidP="0095205D">
      <w:pPr>
        <w:rPr>
          <w:sz w:val="28"/>
          <w:szCs w:val="28"/>
        </w:rPr>
      </w:pPr>
      <w:r>
        <w:rPr>
          <w:sz w:val="28"/>
          <w:szCs w:val="28"/>
        </w:rPr>
        <w:t xml:space="preserve">Calcul des taux proportionnels =     </w:t>
      </w:r>
      <w:r w:rsidRPr="0095205D">
        <w:rPr>
          <w:sz w:val="28"/>
          <w:szCs w:val="28"/>
          <w:u w:val="single"/>
        </w:rPr>
        <w:t>Taux annuel</w:t>
      </w:r>
    </w:p>
    <w:p w:rsidR="0095205D" w:rsidRPr="0095205D" w:rsidRDefault="0095205D" w:rsidP="00952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Nombres de périodes de remboursement</w:t>
      </w:r>
    </w:p>
    <w:p w:rsidR="00D25192" w:rsidRPr="0095205D" w:rsidRDefault="0095205D" w:rsidP="00126647">
      <w:pPr>
        <w:pStyle w:val="Paragraphedeliste"/>
        <w:numPr>
          <w:ilvl w:val="0"/>
          <w:numId w:val="34"/>
        </w:numPr>
        <w:jc w:val="both"/>
        <w:rPr>
          <w:sz w:val="28"/>
          <w:szCs w:val="28"/>
        </w:rPr>
      </w:pPr>
      <w:r w:rsidRPr="0095205D">
        <w:rPr>
          <w:sz w:val="28"/>
          <w:szCs w:val="28"/>
        </w:rPr>
        <w:t>Taux mensuel proportionnel a</w:t>
      </w:r>
      <w:r w:rsidR="00A17AC7">
        <w:rPr>
          <w:sz w:val="28"/>
          <w:szCs w:val="28"/>
        </w:rPr>
        <w:t>u taux annuel de 6% = 6/12 = 0,</w:t>
      </w:r>
      <w:r w:rsidRPr="0095205D">
        <w:rPr>
          <w:sz w:val="28"/>
          <w:szCs w:val="28"/>
        </w:rPr>
        <w:t>5 %</w:t>
      </w:r>
    </w:p>
    <w:p w:rsidR="0095205D" w:rsidRPr="0095205D" w:rsidRDefault="0095205D" w:rsidP="00126647">
      <w:pPr>
        <w:pStyle w:val="Paragraphedeliste"/>
        <w:numPr>
          <w:ilvl w:val="0"/>
          <w:numId w:val="34"/>
        </w:numPr>
        <w:jc w:val="both"/>
        <w:rPr>
          <w:sz w:val="28"/>
          <w:szCs w:val="28"/>
        </w:rPr>
      </w:pPr>
      <w:r w:rsidRPr="0095205D">
        <w:rPr>
          <w:sz w:val="28"/>
          <w:szCs w:val="28"/>
        </w:rPr>
        <w:t>Taux trimestriel proportionnel au taux annuel de 6% = 6/4 = 1,5 %</w:t>
      </w:r>
    </w:p>
    <w:p w:rsidR="0095205D" w:rsidRPr="00D25192" w:rsidRDefault="0095205D" w:rsidP="005F2500">
      <w:pPr>
        <w:jc w:val="both"/>
        <w:rPr>
          <w:sz w:val="28"/>
          <w:szCs w:val="28"/>
        </w:rPr>
      </w:pPr>
      <w:r>
        <w:rPr>
          <w:sz w:val="28"/>
          <w:szCs w:val="28"/>
        </w:rPr>
        <w:t>Le taux proportionnel est celui qui est généralement utilisé par les banques</w:t>
      </w:r>
    </w:p>
    <w:p w:rsidR="0095205D" w:rsidRDefault="0095205D" w:rsidP="0095205D">
      <w:pPr>
        <w:ind w:left="36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e</w:t>
      </w:r>
      <w:proofErr w:type="gramEnd"/>
      <w:r>
        <w:rPr>
          <w:b/>
          <w:sz w:val="32"/>
          <w:szCs w:val="32"/>
          <w:u w:val="single"/>
        </w:rPr>
        <w:t xml:space="preserve">/ </w:t>
      </w:r>
      <w:r w:rsidR="00D24693">
        <w:rPr>
          <w:b/>
          <w:sz w:val="32"/>
          <w:szCs w:val="32"/>
          <w:u w:val="single"/>
        </w:rPr>
        <w:t>Calcul du taux équivalent</w:t>
      </w:r>
    </w:p>
    <w:p w:rsidR="00D25192" w:rsidRPr="00B629C2" w:rsidRDefault="00D24693" w:rsidP="005F2500">
      <w:pPr>
        <w:jc w:val="both"/>
        <w:rPr>
          <w:sz w:val="28"/>
          <w:szCs w:val="28"/>
        </w:rPr>
      </w:pPr>
      <w:r w:rsidRPr="00B629C2">
        <w:rPr>
          <w:sz w:val="28"/>
          <w:szCs w:val="28"/>
        </w:rPr>
        <w:t>Le taux équivalent est le taux qui appliqué au nombre de périodes de remboursement dans l’ann</w:t>
      </w:r>
      <w:r w:rsidR="00B629C2" w:rsidRPr="00B629C2">
        <w:rPr>
          <w:sz w:val="28"/>
          <w:szCs w:val="28"/>
        </w:rPr>
        <w:t>ée, donne le coût de l’emprunt identique au taux annuel annoncé. Pour calculer ce taux, il faut appliquer la formule suivante</w:t>
      </w:r>
    </w:p>
    <w:p w:rsidR="00D24693" w:rsidRPr="001916DC" w:rsidRDefault="001916DC" w:rsidP="005F2500">
      <w:pPr>
        <w:jc w:val="both"/>
        <w:rPr>
          <w:sz w:val="32"/>
          <w:szCs w:val="32"/>
        </w:rPr>
      </w:pPr>
      <w:r w:rsidRPr="001916DC">
        <w:rPr>
          <w:sz w:val="32"/>
          <w:szCs w:val="32"/>
        </w:rPr>
        <w:t>Taux équivalent =   (1+i) puissance 1/k -1</w:t>
      </w:r>
    </w:p>
    <w:p w:rsidR="00D24693" w:rsidRPr="001916DC" w:rsidRDefault="001916DC" w:rsidP="00126647">
      <w:pPr>
        <w:pStyle w:val="Paragraphedeliste"/>
        <w:numPr>
          <w:ilvl w:val="0"/>
          <w:numId w:val="38"/>
        </w:numPr>
        <w:jc w:val="both"/>
        <w:rPr>
          <w:sz w:val="32"/>
          <w:szCs w:val="32"/>
        </w:rPr>
      </w:pPr>
      <w:r w:rsidRPr="001916DC">
        <w:rPr>
          <w:sz w:val="32"/>
          <w:szCs w:val="32"/>
        </w:rPr>
        <w:t>Avec i = taux annuel</w:t>
      </w:r>
    </w:p>
    <w:p w:rsidR="001916DC" w:rsidRDefault="001916DC" w:rsidP="00126647">
      <w:pPr>
        <w:pStyle w:val="Paragraphedeliste"/>
        <w:numPr>
          <w:ilvl w:val="0"/>
          <w:numId w:val="38"/>
        </w:numPr>
        <w:jc w:val="both"/>
        <w:rPr>
          <w:sz w:val="32"/>
          <w:szCs w:val="32"/>
        </w:rPr>
      </w:pPr>
      <w:r w:rsidRPr="001916DC">
        <w:rPr>
          <w:sz w:val="32"/>
          <w:szCs w:val="32"/>
        </w:rPr>
        <w:t>K = nombres de périodes inférieurs à l’année</w:t>
      </w:r>
    </w:p>
    <w:p w:rsidR="00535FB9" w:rsidRDefault="00535FB9" w:rsidP="00535FB9">
      <w:pPr>
        <w:pStyle w:val="Paragraphedeliste"/>
        <w:jc w:val="both"/>
        <w:rPr>
          <w:sz w:val="32"/>
          <w:szCs w:val="32"/>
        </w:rPr>
      </w:pPr>
    </w:p>
    <w:p w:rsidR="001916DC" w:rsidRPr="00535FB9" w:rsidRDefault="001916DC" w:rsidP="00126647">
      <w:pPr>
        <w:pStyle w:val="Paragraphedeliste"/>
        <w:numPr>
          <w:ilvl w:val="0"/>
          <w:numId w:val="38"/>
        </w:numPr>
        <w:jc w:val="both"/>
        <w:rPr>
          <w:sz w:val="28"/>
          <w:szCs w:val="28"/>
        </w:rPr>
      </w:pPr>
      <w:r w:rsidRPr="00535FB9">
        <w:rPr>
          <w:sz w:val="28"/>
          <w:szCs w:val="28"/>
          <w:u w:val="single"/>
        </w:rPr>
        <w:t>Le taux mensuel</w:t>
      </w:r>
      <w:r w:rsidRPr="00535FB9">
        <w:rPr>
          <w:sz w:val="28"/>
          <w:szCs w:val="28"/>
        </w:rPr>
        <w:t xml:space="preserve"> équivalent au taux annuel de 6 %  </w:t>
      </w:r>
      <w:proofErr w:type="gramStart"/>
      <w:r w:rsidRPr="00535FB9">
        <w:rPr>
          <w:sz w:val="28"/>
          <w:szCs w:val="28"/>
        </w:rPr>
        <w:t>=(</w:t>
      </w:r>
      <w:proofErr w:type="gramEnd"/>
      <w:r w:rsidRPr="00535FB9">
        <w:rPr>
          <w:sz w:val="28"/>
          <w:szCs w:val="28"/>
        </w:rPr>
        <w:t>1+0,6) puissance 1/12 – 1 =0,00487</w:t>
      </w:r>
    </w:p>
    <w:p w:rsidR="00D24693" w:rsidRDefault="00535FB9" w:rsidP="005F2500">
      <w:pPr>
        <w:jc w:val="both"/>
        <w:rPr>
          <w:sz w:val="28"/>
          <w:szCs w:val="28"/>
        </w:rPr>
      </w:pPr>
      <w:r w:rsidRPr="00535FB9">
        <w:rPr>
          <w:sz w:val="28"/>
          <w:szCs w:val="28"/>
        </w:rPr>
        <w:t>Soit 0,487 %</w:t>
      </w:r>
    </w:p>
    <w:p w:rsidR="00535FB9" w:rsidRPr="00535FB9" w:rsidRDefault="00535FB9" w:rsidP="00126647">
      <w:pPr>
        <w:pStyle w:val="Paragraphedeliste"/>
        <w:numPr>
          <w:ilvl w:val="0"/>
          <w:numId w:val="38"/>
        </w:numPr>
        <w:jc w:val="both"/>
        <w:rPr>
          <w:sz w:val="28"/>
          <w:szCs w:val="28"/>
        </w:rPr>
      </w:pPr>
      <w:r w:rsidRPr="00535FB9">
        <w:rPr>
          <w:sz w:val="28"/>
          <w:szCs w:val="28"/>
          <w:u w:val="single"/>
        </w:rPr>
        <w:t xml:space="preserve">Le taux </w:t>
      </w:r>
      <w:r>
        <w:rPr>
          <w:sz w:val="28"/>
          <w:szCs w:val="28"/>
          <w:u w:val="single"/>
        </w:rPr>
        <w:t>trimestriel</w:t>
      </w:r>
      <w:r w:rsidRPr="00535FB9">
        <w:rPr>
          <w:sz w:val="28"/>
          <w:szCs w:val="28"/>
        </w:rPr>
        <w:t xml:space="preserve"> équivalent au taux annuel de 6 %  </w:t>
      </w:r>
      <w:proofErr w:type="gramStart"/>
      <w:r w:rsidRPr="00535FB9">
        <w:rPr>
          <w:sz w:val="28"/>
          <w:szCs w:val="28"/>
        </w:rPr>
        <w:t>=(</w:t>
      </w:r>
      <w:proofErr w:type="gramEnd"/>
      <w:r w:rsidRPr="00535FB9">
        <w:rPr>
          <w:sz w:val="28"/>
          <w:szCs w:val="28"/>
        </w:rPr>
        <w:t>1+0,6) puissance 1/</w:t>
      </w:r>
      <w:r>
        <w:rPr>
          <w:sz w:val="28"/>
          <w:szCs w:val="28"/>
        </w:rPr>
        <w:t>4</w:t>
      </w:r>
      <w:r w:rsidRPr="00535FB9">
        <w:rPr>
          <w:sz w:val="28"/>
          <w:szCs w:val="28"/>
        </w:rPr>
        <w:t xml:space="preserve"> – 1 =0,0</w:t>
      </w:r>
      <w:r>
        <w:rPr>
          <w:sz w:val="28"/>
          <w:szCs w:val="28"/>
        </w:rPr>
        <w:t>147</w:t>
      </w:r>
    </w:p>
    <w:p w:rsidR="00535FB9" w:rsidRPr="00535FB9" w:rsidRDefault="00535FB9" w:rsidP="00535FB9">
      <w:pPr>
        <w:jc w:val="both"/>
        <w:rPr>
          <w:sz w:val="28"/>
          <w:szCs w:val="28"/>
        </w:rPr>
      </w:pPr>
      <w:r w:rsidRPr="00535FB9">
        <w:rPr>
          <w:sz w:val="28"/>
          <w:szCs w:val="28"/>
        </w:rPr>
        <w:t xml:space="preserve">Soit </w:t>
      </w:r>
      <w:r>
        <w:rPr>
          <w:sz w:val="28"/>
          <w:szCs w:val="28"/>
        </w:rPr>
        <w:t>1</w:t>
      </w:r>
      <w:r w:rsidRPr="00535FB9">
        <w:rPr>
          <w:sz w:val="28"/>
          <w:szCs w:val="28"/>
        </w:rPr>
        <w:t>,47 %</w:t>
      </w:r>
    </w:p>
    <w:p w:rsidR="0095205D" w:rsidRDefault="00D24693" w:rsidP="0095205D">
      <w:pPr>
        <w:ind w:left="36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lastRenderedPageBreak/>
        <w:t>f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95205D">
        <w:rPr>
          <w:b/>
          <w:sz w:val="32"/>
          <w:szCs w:val="32"/>
          <w:u w:val="single"/>
        </w:rPr>
        <w:t xml:space="preserve">/ </w:t>
      </w:r>
      <w:r>
        <w:rPr>
          <w:b/>
          <w:sz w:val="32"/>
          <w:szCs w:val="32"/>
          <w:u w:val="single"/>
        </w:rPr>
        <w:t xml:space="preserve"> Le coût de l’emprunt</w:t>
      </w:r>
    </w:p>
    <w:p w:rsidR="00535FB9" w:rsidRPr="00854F7A" w:rsidRDefault="00535FB9" w:rsidP="00126647">
      <w:pPr>
        <w:pStyle w:val="Paragraphedeliste"/>
        <w:numPr>
          <w:ilvl w:val="0"/>
          <w:numId w:val="38"/>
        </w:numPr>
        <w:rPr>
          <w:b/>
          <w:sz w:val="28"/>
          <w:szCs w:val="28"/>
          <w:u w:val="single"/>
        </w:rPr>
      </w:pPr>
      <w:r w:rsidRPr="00854F7A">
        <w:rPr>
          <w:b/>
          <w:sz w:val="28"/>
          <w:szCs w:val="28"/>
          <w:u w:val="single"/>
        </w:rPr>
        <w:t xml:space="preserve">Coût de l’emprunt = </w:t>
      </w:r>
      <w:r w:rsidRPr="00854F7A">
        <w:rPr>
          <w:sz w:val="28"/>
          <w:szCs w:val="28"/>
        </w:rPr>
        <w:t>total des intérêts + frais liés à l’emprunt</w:t>
      </w:r>
    </w:p>
    <w:p w:rsidR="00535FB9" w:rsidRPr="00854F7A" w:rsidRDefault="00535FB9" w:rsidP="00126647">
      <w:pPr>
        <w:pStyle w:val="Paragraphedeliste"/>
        <w:numPr>
          <w:ilvl w:val="0"/>
          <w:numId w:val="38"/>
        </w:numPr>
        <w:rPr>
          <w:b/>
          <w:sz w:val="28"/>
          <w:szCs w:val="28"/>
          <w:u w:val="single"/>
        </w:rPr>
      </w:pPr>
      <w:r w:rsidRPr="00854F7A">
        <w:rPr>
          <w:b/>
          <w:sz w:val="28"/>
          <w:szCs w:val="28"/>
          <w:u w:val="single"/>
        </w:rPr>
        <w:t xml:space="preserve">Coût de l’emprunt = </w:t>
      </w:r>
      <w:r w:rsidRPr="00854F7A">
        <w:rPr>
          <w:sz w:val="28"/>
          <w:szCs w:val="28"/>
        </w:rPr>
        <w:t xml:space="preserve">total des annuités versées – montant emprunté </w:t>
      </w:r>
      <w:r w:rsidR="00854F7A" w:rsidRPr="00854F7A">
        <w:rPr>
          <w:sz w:val="28"/>
          <w:szCs w:val="28"/>
        </w:rPr>
        <w:t>+ fra</w:t>
      </w:r>
      <w:r w:rsidRPr="00854F7A">
        <w:rPr>
          <w:sz w:val="28"/>
          <w:szCs w:val="28"/>
        </w:rPr>
        <w:t>i</w:t>
      </w:r>
      <w:r w:rsidR="00854F7A" w:rsidRPr="00854F7A">
        <w:rPr>
          <w:sz w:val="28"/>
          <w:szCs w:val="28"/>
        </w:rPr>
        <w:t>s liés à l’emprunt</w:t>
      </w:r>
    </w:p>
    <w:p w:rsidR="00D25192" w:rsidRPr="00A01991" w:rsidRDefault="00A01991" w:rsidP="005F2500">
      <w:pPr>
        <w:jc w:val="both"/>
        <w:rPr>
          <w:b/>
          <w:sz w:val="28"/>
          <w:szCs w:val="28"/>
          <w:u w:val="single"/>
        </w:rPr>
      </w:pPr>
      <w:r w:rsidRPr="00A01991">
        <w:rPr>
          <w:b/>
          <w:sz w:val="28"/>
          <w:szCs w:val="28"/>
          <w:u w:val="single"/>
        </w:rPr>
        <w:t>Exemple à partir du précédent exercice</w:t>
      </w:r>
      <w:r>
        <w:rPr>
          <w:b/>
          <w:sz w:val="28"/>
          <w:szCs w:val="28"/>
          <w:u w:val="single"/>
        </w:rPr>
        <w:t> :</w:t>
      </w:r>
    </w:p>
    <w:p w:rsidR="00D25192" w:rsidRPr="00A01991" w:rsidRDefault="00A01991" w:rsidP="00126647">
      <w:pPr>
        <w:pStyle w:val="Paragraphedeliste"/>
        <w:numPr>
          <w:ilvl w:val="0"/>
          <w:numId w:val="39"/>
        </w:numPr>
        <w:jc w:val="both"/>
        <w:rPr>
          <w:sz w:val="32"/>
          <w:szCs w:val="32"/>
        </w:rPr>
      </w:pPr>
      <w:r w:rsidRPr="00A01991">
        <w:rPr>
          <w:b/>
          <w:sz w:val="28"/>
          <w:szCs w:val="28"/>
          <w:u w:val="single"/>
        </w:rPr>
        <w:t>Coût de l’emprunt</w:t>
      </w:r>
      <w:proofErr w:type="gramStart"/>
      <w:r w:rsidRPr="00A01991">
        <w:rPr>
          <w:sz w:val="28"/>
          <w:szCs w:val="28"/>
        </w:rPr>
        <w:t>=(</w:t>
      </w:r>
      <w:proofErr w:type="gramEnd"/>
      <w:r w:rsidRPr="00A01991">
        <w:rPr>
          <w:sz w:val="28"/>
          <w:szCs w:val="28"/>
        </w:rPr>
        <w:t>500 + 389,99 + 262,19 + 134,3) + 40 x 4 = 1 208,48 + 160=1 440,48€</w:t>
      </w:r>
    </w:p>
    <w:p w:rsidR="00A01991" w:rsidRPr="009E6E97" w:rsidRDefault="00A01991" w:rsidP="00126647">
      <w:pPr>
        <w:pStyle w:val="Paragraphedeliste"/>
        <w:numPr>
          <w:ilvl w:val="0"/>
          <w:numId w:val="39"/>
        </w:numPr>
        <w:jc w:val="both"/>
        <w:rPr>
          <w:sz w:val="32"/>
          <w:szCs w:val="32"/>
        </w:rPr>
      </w:pPr>
      <w:r w:rsidRPr="00A01991">
        <w:rPr>
          <w:b/>
          <w:sz w:val="28"/>
          <w:szCs w:val="28"/>
          <w:u w:val="single"/>
        </w:rPr>
        <w:t xml:space="preserve">Ou Coût de l’emprunt </w:t>
      </w:r>
      <w:proofErr w:type="gramStart"/>
      <w:r w:rsidRPr="00A01991">
        <w:rPr>
          <w:sz w:val="28"/>
          <w:szCs w:val="28"/>
        </w:rPr>
        <w:t>=(</w:t>
      </w:r>
      <w:proofErr w:type="gramEnd"/>
      <w:r w:rsidRPr="00A01991">
        <w:rPr>
          <w:sz w:val="28"/>
          <w:szCs w:val="28"/>
        </w:rPr>
        <w:t>2 820,12  x 4 ) – 10 000 +  160=  1 440,48 €</w:t>
      </w:r>
    </w:p>
    <w:p w:rsidR="009E6E97" w:rsidRPr="00A01991" w:rsidRDefault="009E6E97" w:rsidP="009E6E97">
      <w:pPr>
        <w:pStyle w:val="Paragraphedeliste"/>
        <w:jc w:val="both"/>
        <w:rPr>
          <w:sz w:val="32"/>
          <w:szCs w:val="32"/>
        </w:rPr>
      </w:pPr>
    </w:p>
    <w:p w:rsidR="00D25192" w:rsidRDefault="00E23B8C" w:rsidP="00E23B8C">
      <w:pPr>
        <w:ind w:left="360"/>
        <w:jc w:val="both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</w:rPr>
        <w:t>g)</w:t>
      </w:r>
      <w:r w:rsidRPr="00E23B8C">
        <w:rPr>
          <w:b/>
          <w:sz w:val="32"/>
          <w:szCs w:val="32"/>
          <w:u w:val="single"/>
        </w:rPr>
        <w:t>La</w:t>
      </w:r>
      <w:proofErr w:type="gramEnd"/>
      <w:r w:rsidRPr="00E23B8C">
        <w:rPr>
          <w:b/>
          <w:sz w:val="32"/>
          <w:szCs w:val="32"/>
          <w:u w:val="single"/>
        </w:rPr>
        <w:t xml:space="preserve"> notion du taux effectif global (TEG)</w:t>
      </w:r>
    </w:p>
    <w:p w:rsidR="009D1CBC" w:rsidRDefault="00E23B8C" w:rsidP="00AC68C5">
      <w:pPr>
        <w:jc w:val="both"/>
        <w:rPr>
          <w:sz w:val="28"/>
          <w:szCs w:val="28"/>
        </w:rPr>
      </w:pPr>
      <w:r w:rsidRPr="00E23B8C">
        <w:rPr>
          <w:sz w:val="28"/>
          <w:szCs w:val="28"/>
        </w:rPr>
        <w:t>Le taux effectif global est le taux qui permet de mesurer le coût total du crédit, incluant les intérêts, ainsi que tous les frais liés à l’emprunt</w:t>
      </w:r>
    </w:p>
    <w:p w:rsidR="00E23B8C" w:rsidRDefault="00AC68C5" w:rsidP="00AC68C5">
      <w:pPr>
        <w:jc w:val="both"/>
        <w:rPr>
          <w:sz w:val="28"/>
          <w:szCs w:val="28"/>
        </w:rPr>
      </w:pPr>
      <w:r w:rsidRPr="009D1CBC">
        <w:rPr>
          <w:sz w:val="28"/>
          <w:szCs w:val="28"/>
        </w:rPr>
        <w:t xml:space="preserve">Dans l’exemple précédent, le </w:t>
      </w:r>
      <w:r w:rsidR="009D1CBC" w:rsidRPr="009D1CBC">
        <w:rPr>
          <w:sz w:val="28"/>
          <w:szCs w:val="28"/>
        </w:rPr>
        <w:t xml:space="preserve">TEG est de 5 % (taux nominal) </w:t>
      </w:r>
      <w:r w:rsidR="009D1CBC">
        <w:rPr>
          <w:sz w:val="28"/>
          <w:szCs w:val="28"/>
        </w:rPr>
        <w:t>+</w:t>
      </w:r>
      <w:r w:rsidR="009D1CBC" w:rsidRPr="009D1CBC">
        <w:rPr>
          <w:sz w:val="28"/>
          <w:szCs w:val="28"/>
        </w:rPr>
        <w:t xml:space="preserve"> 0,40 % (assurance) </w:t>
      </w:r>
      <w:r w:rsidR="009D1CBC">
        <w:rPr>
          <w:sz w:val="28"/>
          <w:szCs w:val="28"/>
        </w:rPr>
        <w:t>= 5,40 %</w:t>
      </w:r>
    </w:p>
    <w:p w:rsidR="00DE36C6" w:rsidRPr="00DE36C6" w:rsidRDefault="00DE36C6" w:rsidP="005F2500">
      <w:pPr>
        <w:jc w:val="both"/>
        <w:rPr>
          <w:b/>
          <w:sz w:val="40"/>
          <w:szCs w:val="40"/>
        </w:rPr>
      </w:pPr>
      <w:r w:rsidRPr="00DE36C6">
        <w:rPr>
          <w:b/>
          <w:sz w:val="40"/>
          <w:szCs w:val="40"/>
        </w:rPr>
        <w:t xml:space="preserve">Chapitre </w:t>
      </w:r>
      <w:proofErr w:type="gramStart"/>
      <w:r w:rsidRPr="00DE36C6">
        <w:rPr>
          <w:b/>
          <w:sz w:val="40"/>
          <w:szCs w:val="40"/>
        </w:rPr>
        <w:t>C )</w:t>
      </w:r>
      <w:proofErr w:type="gramEnd"/>
      <w:r w:rsidRPr="00DE36C6">
        <w:rPr>
          <w:b/>
          <w:sz w:val="40"/>
          <w:szCs w:val="40"/>
        </w:rPr>
        <w:t xml:space="preserve"> Le Financement par la Location</w:t>
      </w:r>
    </w:p>
    <w:p w:rsidR="005F2500" w:rsidRDefault="00DE36C6" w:rsidP="005F250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1</w:t>
      </w:r>
      <w:r w:rsidR="005F2500" w:rsidRPr="0037183B">
        <w:rPr>
          <w:b/>
          <w:sz w:val="32"/>
          <w:szCs w:val="32"/>
        </w:rPr>
        <w:t xml:space="preserve">/ </w:t>
      </w:r>
      <w:r w:rsidR="005F2500" w:rsidRPr="0037183B">
        <w:rPr>
          <w:b/>
          <w:sz w:val="32"/>
          <w:szCs w:val="32"/>
          <w:u w:val="single"/>
        </w:rPr>
        <w:t>Le Financement par l</w:t>
      </w:r>
      <w:r w:rsidR="005F2500">
        <w:rPr>
          <w:b/>
          <w:sz w:val="32"/>
          <w:szCs w:val="32"/>
          <w:u w:val="single"/>
        </w:rPr>
        <w:t>a location financière</w:t>
      </w:r>
      <w:r w:rsidR="00E64F23">
        <w:rPr>
          <w:b/>
          <w:sz w:val="32"/>
          <w:szCs w:val="32"/>
          <w:u w:val="single"/>
        </w:rPr>
        <w:t xml:space="preserve"> (ou location longue durée)</w:t>
      </w:r>
    </w:p>
    <w:p w:rsidR="005F2500" w:rsidRDefault="005F2500" w:rsidP="005F2500">
      <w:pPr>
        <w:jc w:val="both"/>
        <w:rPr>
          <w:sz w:val="28"/>
          <w:szCs w:val="28"/>
        </w:rPr>
      </w:pPr>
      <w:r w:rsidRPr="005F2500">
        <w:rPr>
          <w:sz w:val="28"/>
          <w:szCs w:val="28"/>
        </w:rPr>
        <w:t>C’est</w:t>
      </w:r>
      <w:r>
        <w:rPr>
          <w:sz w:val="28"/>
          <w:szCs w:val="28"/>
        </w:rPr>
        <w:t xml:space="preserve"> une opération </w:t>
      </w:r>
      <w:r w:rsidR="00E64F23">
        <w:rPr>
          <w:sz w:val="28"/>
          <w:szCs w:val="28"/>
        </w:rPr>
        <w:t xml:space="preserve">de location </w:t>
      </w:r>
      <w:r>
        <w:rPr>
          <w:sz w:val="28"/>
          <w:szCs w:val="28"/>
        </w:rPr>
        <w:t xml:space="preserve">longue durée </w:t>
      </w:r>
      <w:r w:rsidRPr="00FA73CA">
        <w:rPr>
          <w:sz w:val="28"/>
          <w:szCs w:val="28"/>
          <w:u w:val="single"/>
        </w:rPr>
        <w:t>sans option d’achat</w:t>
      </w:r>
      <w:r>
        <w:rPr>
          <w:sz w:val="28"/>
          <w:szCs w:val="28"/>
        </w:rPr>
        <w:t>, dans laquelle le locataire choisit le fournisseur d’immobilisation ainsi que le bien à louer</w:t>
      </w:r>
      <w:r w:rsidR="00F903A2">
        <w:rPr>
          <w:sz w:val="28"/>
          <w:szCs w:val="28"/>
        </w:rPr>
        <w:t xml:space="preserve"> (dont il connaît et éventuellement </w:t>
      </w:r>
      <w:r w:rsidR="00995093">
        <w:rPr>
          <w:sz w:val="28"/>
          <w:szCs w:val="28"/>
        </w:rPr>
        <w:t>négocie le prix).</w:t>
      </w:r>
    </w:p>
    <w:p w:rsidR="00F903A2" w:rsidRDefault="00F903A2" w:rsidP="005F2500">
      <w:pPr>
        <w:jc w:val="both"/>
        <w:rPr>
          <w:sz w:val="28"/>
          <w:szCs w:val="28"/>
        </w:rPr>
      </w:pPr>
      <w:r>
        <w:rPr>
          <w:sz w:val="28"/>
          <w:szCs w:val="28"/>
        </w:rPr>
        <w:t>Le</w:t>
      </w:r>
      <w:r w:rsidR="00995093">
        <w:rPr>
          <w:sz w:val="28"/>
          <w:szCs w:val="28"/>
        </w:rPr>
        <w:t xml:space="preserve"> contrat est conclu pour une durée fixe </w:t>
      </w:r>
      <w:r w:rsidR="00E64F23">
        <w:rPr>
          <w:sz w:val="28"/>
          <w:szCs w:val="28"/>
        </w:rPr>
        <w:t>avec des loyers soumis à la TVA dont le montant est fixé dès la conclusion du contrat.</w:t>
      </w:r>
    </w:p>
    <w:p w:rsidR="001629C8" w:rsidRPr="00FA73CA" w:rsidRDefault="00DE36C6" w:rsidP="001629C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2</w:t>
      </w:r>
      <w:r w:rsidR="001629C8" w:rsidRPr="0037183B">
        <w:rPr>
          <w:b/>
          <w:sz w:val="32"/>
          <w:szCs w:val="32"/>
        </w:rPr>
        <w:t xml:space="preserve">/ </w:t>
      </w:r>
      <w:r w:rsidR="001629C8" w:rsidRPr="0037183B">
        <w:rPr>
          <w:b/>
          <w:sz w:val="32"/>
          <w:szCs w:val="32"/>
          <w:u w:val="single"/>
        </w:rPr>
        <w:t xml:space="preserve">Le </w:t>
      </w:r>
      <w:r w:rsidR="001629C8" w:rsidRPr="00FA73CA">
        <w:rPr>
          <w:b/>
          <w:sz w:val="32"/>
          <w:szCs w:val="32"/>
          <w:u w:val="single"/>
        </w:rPr>
        <w:t>Financement par Crédit Bail</w:t>
      </w:r>
    </w:p>
    <w:p w:rsidR="00A91788" w:rsidRDefault="00A91788" w:rsidP="001629C8">
      <w:pPr>
        <w:jc w:val="both"/>
        <w:rPr>
          <w:sz w:val="28"/>
          <w:szCs w:val="28"/>
          <w:u w:val="single"/>
        </w:rPr>
      </w:pPr>
      <w:r w:rsidRPr="00A91788">
        <w:rPr>
          <w:sz w:val="28"/>
          <w:szCs w:val="28"/>
        </w:rPr>
        <w:t>Le crédit bail est une opération de locatio</w:t>
      </w:r>
      <w:r>
        <w:rPr>
          <w:sz w:val="28"/>
          <w:szCs w:val="28"/>
        </w:rPr>
        <w:t xml:space="preserve">n qui porte sur un bien mobilier ou immobilier à usage professionnel assortie </w:t>
      </w:r>
      <w:r w:rsidRPr="00A91788">
        <w:rPr>
          <w:sz w:val="28"/>
          <w:szCs w:val="28"/>
          <w:u w:val="single"/>
        </w:rPr>
        <w:t>d’une option d’achat</w:t>
      </w:r>
      <w:r w:rsidR="00FA73CA">
        <w:rPr>
          <w:sz w:val="28"/>
          <w:szCs w:val="28"/>
          <w:u w:val="single"/>
        </w:rPr>
        <w:t>.</w:t>
      </w:r>
    </w:p>
    <w:p w:rsidR="00FA73CA" w:rsidRPr="00BC0448" w:rsidRDefault="00FA73CA" w:rsidP="005970E7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BC0448">
        <w:rPr>
          <w:b/>
          <w:sz w:val="28"/>
          <w:szCs w:val="28"/>
          <w:u w:val="single"/>
        </w:rPr>
        <w:t>Fonctionnement du contrat du crédit bail</w:t>
      </w:r>
    </w:p>
    <w:p w:rsidR="00FA73CA" w:rsidRPr="00BF7075" w:rsidRDefault="00FA73CA" w:rsidP="00FA73CA">
      <w:pPr>
        <w:pStyle w:val="Paragraphedeliste"/>
        <w:jc w:val="both"/>
        <w:rPr>
          <w:sz w:val="16"/>
          <w:szCs w:val="16"/>
          <w:u w:val="single"/>
        </w:rPr>
      </w:pPr>
    </w:p>
    <w:p w:rsidR="00FA73CA" w:rsidRDefault="00FA73CA" w:rsidP="00126647">
      <w:pPr>
        <w:pStyle w:val="Paragraphedeliste"/>
        <w:numPr>
          <w:ilvl w:val="0"/>
          <w:numId w:val="34"/>
        </w:numPr>
        <w:jc w:val="both"/>
        <w:rPr>
          <w:sz w:val="28"/>
          <w:szCs w:val="28"/>
        </w:rPr>
      </w:pPr>
      <w:r w:rsidRPr="005970E7">
        <w:rPr>
          <w:sz w:val="28"/>
          <w:szCs w:val="28"/>
        </w:rPr>
        <w:t>Le client (le preneur) choisit le matériel qu’il souhaite louer</w:t>
      </w:r>
    </w:p>
    <w:p w:rsidR="00FA73CA" w:rsidRDefault="00FA73CA" w:rsidP="00126647">
      <w:pPr>
        <w:pStyle w:val="Paragraphedeliste"/>
        <w:numPr>
          <w:ilvl w:val="0"/>
          <w:numId w:val="34"/>
        </w:numPr>
        <w:jc w:val="both"/>
        <w:rPr>
          <w:sz w:val="28"/>
          <w:szCs w:val="28"/>
        </w:rPr>
      </w:pPr>
      <w:r w:rsidRPr="005970E7">
        <w:rPr>
          <w:sz w:val="28"/>
          <w:szCs w:val="28"/>
        </w:rPr>
        <w:t>La société de crédit-bail (le bailleur) achète le matériel</w:t>
      </w:r>
      <w:r w:rsidR="00C83C5B" w:rsidRPr="005970E7">
        <w:rPr>
          <w:sz w:val="28"/>
          <w:szCs w:val="28"/>
        </w:rPr>
        <w:t xml:space="preserve"> et le loue au preneur pendant la période prévue au contrat</w:t>
      </w:r>
    </w:p>
    <w:p w:rsidR="00C83C5B" w:rsidRDefault="005970E7" w:rsidP="00126647">
      <w:pPr>
        <w:pStyle w:val="Paragraphedeliste"/>
        <w:numPr>
          <w:ilvl w:val="0"/>
          <w:numId w:val="34"/>
        </w:numPr>
        <w:jc w:val="both"/>
        <w:rPr>
          <w:sz w:val="28"/>
          <w:szCs w:val="28"/>
        </w:rPr>
      </w:pPr>
      <w:r w:rsidRPr="005970E7">
        <w:rPr>
          <w:sz w:val="28"/>
          <w:szCs w:val="28"/>
        </w:rPr>
        <w:t>A l’issue de la période de location, le preneur a le choix entre </w:t>
      </w:r>
      <w:r>
        <w:rPr>
          <w:sz w:val="28"/>
          <w:szCs w:val="28"/>
        </w:rPr>
        <w:t xml:space="preserve"> 3 </w:t>
      </w:r>
      <w:r w:rsidRPr="005970E7">
        <w:rPr>
          <w:sz w:val="28"/>
          <w:szCs w:val="28"/>
        </w:rPr>
        <w:t>options : </w:t>
      </w:r>
    </w:p>
    <w:p w:rsidR="00BC0448" w:rsidRPr="00ED105D" w:rsidRDefault="00BC0448" w:rsidP="00BC0448">
      <w:pPr>
        <w:pStyle w:val="Paragraphedeliste"/>
        <w:jc w:val="both"/>
        <w:rPr>
          <w:sz w:val="16"/>
          <w:szCs w:val="16"/>
        </w:rPr>
      </w:pPr>
    </w:p>
    <w:p w:rsidR="00C83C5B" w:rsidRPr="00ED105D" w:rsidRDefault="00BF7075" w:rsidP="00126647">
      <w:pPr>
        <w:pStyle w:val="Paragraphedeliste"/>
        <w:numPr>
          <w:ilvl w:val="0"/>
          <w:numId w:val="36"/>
        </w:numPr>
        <w:jc w:val="both"/>
        <w:rPr>
          <w:sz w:val="28"/>
          <w:szCs w:val="28"/>
        </w:rPr>
      </w:pPr>
      <w:r w:rsidRPr="00ED105D">
        <w:rPr>
          <w:sz w:val="28"/>
          <w:szCs w:val="28"/>
        </w:rPr>
        <w:t>Soit l’achat du matériel au prix prévu dès la signature du contrat</w:t>
      </w:r>
    </w:p>
    <w:p w:rsidR="00BF7075" w:rsidRPr="00ED105D" w:rsidRDefault="00BF7075" w:rsidP="00126647">
      <w:pPr>
        <w:pStyle w:val="Paragraphedeliste"/>
        <w:numPr>
          <w:ilvl w:val="0"/>
          <w:numId w:val="36"/>
        </w:numPr>
        <w:jc w:val="both"/>
        <w:rPr>
          <w:sz w:val="28"/>
          <w:szCs w:val="28"/>
        </w:rPr>
      </w:pPr>
      <w:r w:rsidRPr="00ED105D">
        <w:rPr>
          <w:sz w:val="28"/>
          <w:szCs w:val="28"/>
        </w:rPr>
        <w:lastRenderedPageBreak/>
        <w:t>Soit la poursuite de la location</w:t>
      </w:r>
    </w:p>
    <w:p w:rsidR="00BF7075" w:rsidRPr="00ED105D" w:rsidRDefault="00BF7075" w:rsidP="00126647">
      <w:pPr>
        <w:pStyle w:val="Paragraphedeliste"/>
        <w:numPr>
          <w:ilvl w:val="0"/>
          <w:numId w:val="36"/>
        </w:numPr>
        <w:jc w:val="both"/>
        <w:rPr>
          <w:sz w:val="28"/>
          <w:szCs w:val="28"/>
        </w:rPr>
      </w:pPr>
      <w:r w:rsidRPr="00ED105D">
        <w:rPr>
          <w:sz w:val="28"/>
          <w:szCs w:val="28"/>
        </w:rPr>
        <w:t>Soit la restitution du bien au bailleur</w:t>
      </w:r>
    </w:p>
    <w:p w:rsidR="00BC0448" w:rsidRPr="00BF7075" w:rsidRDefault="00BC0448" w:rsidP="00BC0448">
      <w:pPr>
        <w:pStyle w:val="Paragraphedeliste"/>
        <w:jc w:val="both"/>
        <w:rPr>
          <w:sz w:val="28"/>
          <w:szCs w:val="28"/>
        </w:rPr>
      </w:pPr>
    </w:p>
    <w:p w:rsidR="00BC0448" w:rsidRDefault="00BC0448" w:rsidP="00BC0448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Intérêt éco</w:t>
      </w:r>
      <w:r w:rsidR="00EA5B53">
        <w:rPr>
          <w:b/>
          <w:sz w:val="28"/>
          <w:szCs w:val="28"/>
          <w:u w:val="single"/>
        </w:rPr>
        <w:t>no</w:t>
      </w:r>
      <w:r>
        <w:rPr>
          <w:b/>
          <w:sz w:val="28"/>
          <w:szCs w:val="28"/>
          <w:u w:val="single"/>
        </w:rPr>
        <w:t>mique du crédit bail</w:t>
      </w:r>
    </w:p>
    <w:p w:rsidR="000D1CDD" w:rsidRPr="006D7792" w:rsidRDefault="000D1CDD" w:rsidP="000D1CDD">
      <w:pPr>
        <w:pStyle w:val="Paragraphedeliste"/>
        <w:ind w:left="927"/>
        <w:jc w:val="both"/>
        <w:rPr>
          <w:b/>
          <w:sz w:val="16"/>
          <w:szCs w:val="16"/>
          <w:u w:val="single"/>
        </w:rPr>
      </w:pPr>
    </w:p>
    <w:p w:rsidR="00BC0448" w:rsidRPr="00ED105D" w:rsidRDefault="00BC0448" w:rsidP="00126647">
      <w:pPr>
        <w:pStyle w:val="Paragraphedeliste"/>
        <w:numPr>
          <w:ilvl w:val="0"/>
          <w:numId w:val="37"/>
        </w:numPr>
        <w:jc w:val="both"/>
        <w:rPr>
          <w:sz w:val="28"/>
          <w:szCs w:val="28"/>
        </w:rPr>
      </w:pPr>
      <w:r w:rsidRPr="00ED105D">
        <w:rPr>
          <w:sz w:val="28"/>
          <w:szCs w:val="28"/>
        </w:rPr>
        <w:t xml:space="preserve">L’accès au financement est plus aisé pour les petites entreprises qui ne peuvent pas accéder au crédit bancaire faute de </w:t>
      </w:r>
      <w:r w:rsidR="000D1CDD" w:rsidRPr="00ED105D">
        <w:rPr>
          <w:sz w:val="28"/>
          <w:szCs w:val="28"/>
        </w:rPr>
        <w:t>pouvoir présenter des garanties,</w:t>
      </w:r>
      <w:r w:rsidR="00EA5B53" w:rsidRPr="00ED105D">
        <w:rPr>
          <w:sz w:val="28"/>
          <w:szCs w:val="28"/>
        </w:rPr>
        <w:t xml:space="preserve"> Le crédit bail permet un financement total de l’investissement TTC, alors que le crédit bancaire  nécessite un apport initial et prend rarement en compte la TVA</w:t>
      </w:r>
      <w:r w:rsidR="00AA7D2C" w:rsidRPr="00ED105D">
        <w:rPr>
          <w:sz w:val="28"/>
          <w:szCs w:val="28"/>
        </w:rPr>
        <w:t>,</w:t>
      </w:r>
    </w:p>
    <w:p w:rsidR="00ED105D" w:rsidRPr="006D7792" w:rsidRDefault="00ED105D" w:rsidP="00ED105D">
      <w:pPr>
        <w:pStyle w:val="Paragraphedeliste"/>
        <w:rPr>
          <w:sz w:val="16"/>
          <w:szCs w:val="16"/>
        </w:rPr>
      </w:pPr>
    </w:p>
    <w:p w:rsidR="00AA7D2C" w:rsidRDefault="00AA7D2C" w:rsidP="00126647">
      <w:pPr>
        <w:pStyle w:val="Paragraphedeliste"/>
        <w:numPr>
          <w:ilvl w:val="0"/>
          <w:numId w:val="37"/>
        </w:numPr>
        <w:jc w:val="both"/>
        <w:rPr>
          <w:sz w:val="28"/>
          <w:szCs w:val="28"/>
        </w:rPr>
      </w:pPr>
      <w:r w:rsidRPr="00ED105D">
        <w:rPr>
          <w:sz w:val="28"/>
          <w:szCs w:val="28"/>
        </w:rPr>
        <w:t xml:space="preserve">La souplesse, car le crédit bail permet de s’adapter </w:t>
      </w:r>
      <w:r w:rsidR="000D1CDD" w:rsidRPr="00ED105D">
        <w:rPr>
          <w:sz w:val="28"/>
          <w:szCs w:val="28"/>
        </w:rPr>
        <w:t>aux spécificités du bien à financer ; une location de courte durée pour des biens sujets à une obsolescence  rapide, par exemple</w:t>
      </w:r>
    </w:p>
    <w:p w:rsidR="00ED105D" w:rsidRPr="006D7792" w:rsidRDefault="00ED105D" w:rsidP="00ED105D">
      <w:pPr>
        <w:pStyle w:val="Paragraphedeliste"/>
        <w:rPr>
          <w:sz w:val="16"/>
          <w:szCs w:val="16"/>
        </w:rPr>
      </w:pPr>
    </w:p>
    <w:p w:rsidR="00ED105D" w:rsidRDefault="00ED105D" w:rsidP="00126647">
      <w:pPr>
        <w:pStyle w:val="Paragraphedeliste"/>
        <w:numPr>
          <w:ilvl w:val="0"/>
          <w:numId w:val="37"/>
        </w:numPr>
        <w:jc w:val="both"/>
        <w:rPr>
          <w:sz w:val="28"/>
          <w:szCs w:val="28"/>
        </w:rPr>
      </w:pPr>
      <w:r w:rsidRPr="0097481D">
        <w:rPr>
          <w:sz w:val="28"/>
          <w:szCs w:val="28"/>
        </w:rPr>
        <w:t>Le recours au crédit bail permet d’optimiser le financement de l’unité commerciale ; il évite le recours aux ressources stables, dont l’ent</w:t>
      </w:r>
      <w:r w:rsidR="0097481D" w:rsidRPr="0097481D">
        <w:rPr>
          <w:sz w:val="28"/>
          <w:szCs w:val="28"/>
        </w:rPr>
        <w:t>re</w:t>
      </w:r>
      <w:r w:rsidRPr="0097481D">
        <w:rPr>
          <w:sz w:val="28"/>
          <w:szCs w:val="28"/>
        </w:rPr>
        <w:t>prise</w:t>
      </w:r>
      <w:r w:rsidR="0097481D" w:rsidRPr="0097481D">
        <w:rPr>
          <w:sz w:val="28"/>
          <w:szCs w:val="28"/>
        </w:rPr>
        <w:t xml:space="preserve"> a besoin pour couvrir </w:t>
      </w:r>
      <w:proofErr w:type="gramStart"/>
      <w:r w:rsidR="0097481D" w:rsidRPr="0097481D">
        <w:rPr>
          <w:sz w:val="28"/>
          <w:szCs w:val="28"/>
        </w:rPr>
        <w:t>d’autre</w:t>
      </w:r>
      <w:proofErr w:type="gramEnd"/>
      <w:r w:rsidR="0097481D" w:rsidRPr="0097481D">
        <w:rPr>
          <w:sz w:val="28"/>
          <w:szCs w:val="28"/>
        </w:rPr>
        <w:t xml:space="preserve"> besoins de financement,</w:t>
      </w:r>
    </w:p>
    <w:p w:rsidR="0097481D" w:rsidRPr="0097481D" w:rsidRDefault="0097481D" w:rsidP="0097481D">
      <w:pPr>
        <w:pStyle w:val="Paragraphedeliste"/>
        <w:rPr>
          <w:sz w:val="28"/>
          <w:szCs w:val="28"/>
        </w:rPr>
      </w:pPr>
    </w:p>
    <w:p w:rsidR="0097481D" w:rsidRDefault="0097481D" w:rsidP="00126647">
      <w:pPr>
        <w:pStyle w:val="Paragraphedeliste"/>
        <w:numPr>
          <w:ilvl w:val="0"/>
          <w:numId w:val="37"/>
        </w:numPr>
        <w:jc w:val="both"/>
        <w:rPr>
          <w:sz w:val="28"/>
          <w:szCs w:val="28"/>
        </w:rPr>
      </w:pPr>
      <w:r w:rsidRPr="0097481D">
        <w:rPr>
          <w:sz w:val="28"/>
          <w:szCs w:val="28"/>
        </w:rPr>
        <w:t>Il préserve ainsi la capacité d’endettement de l’unité commerciale</w:t>
      </w:r>
    </w:p>
    <w:p w:rsidR="009D1CBC" w:rsidRPr="009D1CBC" w:rsidRDefault="009D1CBC" w:rsidP="009D1CBC">
      <w:pPr>
        <w:pStyle w:val="Paragraphedeliste"/>
        <w:rPr>
          <w:sz w:val="28"/>
          <w:szCs w:val="28"/>
        </w:rPr>
      </w:pPr>
    </w:p>
    <w:p w:rsidR="009D1CBC" w:rsidRPr="0097481D" w:rsidRDefault="009D1CBC" w:rsidP="009D1CBC">
      <w:pPr>
        <w:pStyle w:val="Paragraphedeliste"/>
        <w:jc w:val="both"/>
        <w:rPr>
          <w:sz w:val="28"/>
          <w:szCs w:val="28"/>
        </w:rPr>
      </w:pPr>
    </w:p>
    <w:p w:rsidR="00ED105D" w:rsidRDefault="006D7792" w:rsidP="00ED105D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coût du crédit bail</w:t>
      </w:r>
    </w:p>
    <w:p w:rsidR="006D7792" w:rsidRDefault="006D7792" w:rsidP="006D7792">
      <w:pPr>
        <w:pStyle w:val="Paragraphedeliste"/>
        <w:ind w:left="927"/>
        <w:jc w:val="both"/>
        <w:rPr>
          <w:b/>
          <w:sz w:val="28"/>
          <w:szCs w:val="28"/>
          <w:u w:val="single"/>
        </w:rPr>
      </w:pPr>
    </w:p>
    <w:p w:rsidR="00ED105D" w:rsidRDefault="006D7792" w:rsidP="006D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locataire paye à une périodicité </w:t>
      </w:r>
      <w:proofErr w:type="gramStart"/>
      <w:r>
        <w:rPr>
          <w:sz w:val="28"/>
          <w:szCs w:val="28"/>
        </w:rPr>
        <w:t>prévu</w:t>
      </w:r>
      <w:proofErr w:type="gramEnd"/>
      <w:r>
        <w:rPr>
          <w:sz w:val="28"/>
          <w:szCs w:val="28"/>
        </w:rPr>
        <w:t xml:space="preserve"> par le contrat (mensuelle, trimestrielle, semestrielle)</w:t>
      </w:r>
    </w:p>
    <w:p w:rsidR="006D7792" w:rsidRPr="006D7792" w:rsidRDefault="009E72B5" w:rsidP="006D77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6D7792">
        <w:rPr>
          <w:sz w:val="28"/>
          <w:szCs w:val="28"/>
        </w:rPr>
        <w:t>es</w:t>
      </w:r>
      <w:proofErr w:type="gramEnd"/>
      <w:r w:rsidR="006D7792">
        <w:rPr>
          <w:sz w:val="28"/>
          <w:szCs w:val="28"/>
        </w:rPr>
        <w:t xml:space="preserve"> loyers (redevance de crédit bail) soumis à la TVA qui sot enregistrés dans les charges de l’entreprise.</w:t>
      </w:r>
    </w:p>
    <w:p w:rsidR="00BC0448" w:rsidRDefault="00BC0448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9E6E97" w:rsidRPr="00BF7075" w:rsidRDefault="009E6E97" w:rsidP="00BC0448">
      <w:pPr>
        <w:pStyle w:val="Paragraphedeliste"/>
        <w:jc w:val="both"/>
        <w:rPr>
          <w:sz w:val="16"/>
          <w:szCs w:val="16"/>
          <w:u w:val="single"/>
        </w:rPr>
      </w:pPr>
    </w:p>
    <w:p w:rsidR="00BF7075" w:rsidRPr="00FA73CA" w:rsidRDefault="00BF7075" w:rsidP="00FA73CA">
      <w:pPr>
        <w:jc w:val="both"/>
        <w:rPr>
          <w:sz w:val="28"/>
          <w:szCs w:val="28"/>
        </w:rPr>
      </w:pPr>
    </w:p>
    <w:p w:rsidR="00FA73CA" w:rsidRDefault="00FA73CA" w:rsidP="00FA73CA">
      <w:pPr>
        <w:pStyle w:val="Paragraphedeliste"/>
        <w:jc w:val="both"/>
        <w:rPr>
          <w:sz w:val="28"/>
          <w:szCs w:val="28"/>
          <w:u w:val="single"/>
        </w:rPr>
      </w:pPr>
    </w:p>
    <w:sectPr w:rsidR="00FA73CA" w:rsidSect="000A1C8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C8" w:rsidRDefault="00F63FC8" w:rsidP="001E38A2">
      <w:pPr>
        <w:spacing w:after="0" w:line="240" w:lineRule="auto"/>
      </w:pPr>
      <w:r>
        <w:separator/>
      </w:r>
    </w:p>
  </w:endnote>
  <w:endnote w:type="continuationSeparator" w:id="0">
    <w:p w:rsidR="00F63FC8" w:rsidRDefault="00F63FC8" w:rsidP="001E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714639"/>
      <w:docPartObj>
        <w:docPartGallery w:val="Page Numbers (Bottom of Page)"/>
        <w:docPartUnique/>
      </w:docPartObj>
    </w:sdtPr>
    <w:sdtEndPr/>
    <w:sdtContent>
      <w:p w:rsidR="002B4C0A" w:rsidRDefault="000811A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B4C0A" w:rsidRDefault="002B4C0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C8" w:rsidRDefault="00F63FC8" w:rsidP="001E38A2">
      <w:pPr>
        <w:spacing w:after="0" w:line="240" w:lineRule="auto"/>
      </w:pPr>
      <w:r>
        <w:separator/>
      </w:r>
    </w:p>
  </w:footnote>
  <w:footnote w:type="continuationSeparator" w:id="0">
    <w:p w:rsidR="00F63FC8" w:rsidRDefault="00F63FC8" w:rsidP="001E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F71"/>
    <w:multiLevelType w:val="hybridMultilevel"/>
    <w:tmpl w:val="5746B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7119"/>
    <w:multiLevelType w:val="hybridMultilevel"/>
    <w:tmpl w:val="46B640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496F"/>
    <w:multiLevelType w:val="hybridMultilevel"/>
    <w:tmpl w:val="D57814A4"/>
    <w:lvl w:ilvl="0" w:tplc="8DB28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E64"/>
    <w:multiLevelType w:val="hybridMultilevel"/>
    <w:tmpl w:val="65BEA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66AE5"/>
    <w:multiLevelType w:val="hybridMultilevel"/>
    <w:tmpl w:val="13420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6AEA"/>
    <w:multiLevelType w:val="hybridMultilevel"/>
    <w:tmpl w:val="D8A821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70D2"/>
    <w:multiLevelType w:val="hybridMultilevel"/>
    <w:tmpl w:val="FE6AF3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2621"/>
    <w:multiLevelType w:val="hybridMultilevel"/>
    <w:tmpl w:val="0570F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7944"/>
    <w:multiLevelType w:val="hybridMultilevel"/>
    <w:tmpl w:val="A4D29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4675A"/>
    <w:multiLevelType w:val="hybridMultilevel"/>
    <w:tmpl w:val="8E90D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1216D"/>
    <w:multiLevelType w:val="hybridMultilevel"/>
    <w:tmpl w:val="F9B42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F5691"/>
    <w:multiLevelType w:val="hybridMultilevel"/>
    <w:tmpl w:val="804EA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86FE7"/>
    <w:multiLevelType w:val="hybridMultilevel"/>
    <w:tmpl w:val="D1342C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323CB"/>
    <w:multiLevelType w:val="hybridMultilevel"/>
    <w:tmpl w:val="A370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33C8"/>
    <w:multiLevelType w:val="hybridMultilevel"/>
    <w:tmpl w:val="77927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10BC2"/>
    <w:multiLevelType w:val="hybridMultilevel"/>
    <w:tmpl w:val="A57AD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7C4A"/>
    <w:multiLevelType w:val="hybridMultilevel"/>
    <w:tmpl w:val="8004B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85754"/>
    <w:multiLevelType w:val="hybridMultilevel"/>
    <w:tmpl w:val="EDB01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F28AE"/>
    <w:multiLevelType w:val="hybridMultilevel"/>
    <w:tmpl w:val="9F1C9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918F8"/>
    <w:multiLevelType w:val="hybridMultilevel"/>
    <w:tmpl w:val="0FCC5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94BBE"/>
    <w:multiLevelType w:val="hybridMultilevel"/>
    <w:tmpl w:val="1C927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427E2"/>
    <w:multiLevelType w:val="hybridMultilevel"/>
    <w:tmpl w:val="BB02B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423FA"/>
    <w:multiLevelType w:val="hybridMultilevel"/>
    <w:tmpl w:val="E8046B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178B0"/>
    <w:multiLevelType w:val="hybridMultilevel"/>
    <w:tmpl w:val="B69630A4"/>
    <w:lvl w:ilvl="0" w:tplc="A1EEABB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64DF4"/>
    <w:multiLevelType w:val="hybridMultilevel"/>
    <w:tmpl w:val="BD82D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F4C09"/>
    <w:multiLevelType w:val="hybridMultilevel"/>
    <w:tmpl w:val="64849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F619B"/>
    <w:multiLevelType w:val="hybridMultilevel"/>
    <w:tmpl w:val="4FD8A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527C3"/>
    <w:multiLevelType w:val="hybridMultilevel"/>
    <w:tmpl w:val="32487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A64DA"/>
    <w:multiLevelType w:val="hybridMultilevel"/>
    <w:tmpl w:val="712C2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76EFC"/>
    <w:multiLevelType w:val="hybridMultilevel"/>
    <w:tmpl w:val="D804C2F0"/>
    <w:lvl w:ilvl="0" w:tplc="A1EEABB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572D7"/>
    <w:multiLevelType w:val="hybridMultilevel"/>
    <w:tmpl w:val="C84CC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8290F"/>
    <w:multiLevelType w:val="hybridMultilevel"/>
    <w:tmpl w:val="59C42F74"/>
    <w:lvl w:ilvl="0" w:tplc="3B1C2A3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B2BC4"/>
    <w:multiLevelType w:val="hybridMultilevel"/>
    <w:tmpl w:val="54C441CA"/>
    <w:lvl w:ilvl="0" w:tplc="A1EEABB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94E50"/>
    <w:multiLevelType w:val="hybridMultilevel"/>
    <w:tmpl w:val="CF2427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20DA8"/>
    <w:multiLevelType w:val="hybridMultilevel"/>
    <w:tmpl w:val="11DA57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51A7B"/>
    <w:multiLevelType w:val="hybridMultilevel"/>
    <w:tmpl w:val="7BC0E5BE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41A69"/>
    <w:multiLevelType w:val="hybridMultilevel"/>
    <w:tmpl w:val="40822F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73B73"/>
    <w:multiLevelType w:val="hybridMultilevel"/>
    <w:tmpl w:val="C8085D90"/>
    <w:lvl w:ilvl="0" w:tplc="6A1AC3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976E3"/>
    <w:multiLevelType w:val="hybridMultilevel"/>
    <w:tmpl w:val="86B67B14"/>
    <w:lvl w:ilvl="0" w:tplc="A1EEABBE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5"/>
  </w:num>
  <w:num w:numId="4">
    <w:abstractNumId w:val="36"/>
  </w:num>
  <w:num w:numId="5">
    <w:abstractNumId w:val="24"/>
  </w:num>
  <w:num w:numId="6">
    <w:abstractNumId w:val="18"/>
  </w:num>
  <w:num w:numId="7">
    <w:abstractNumId w:val="19"/>
  </w:num>
  <w:num w:numId="8">
    <w:abstractNumId w:val="34"/>
  </w:num>
  <w:num w:numId="9">
    <w:abstractNumId w:val="30"/>
  </w:num>
  <w:num w:numId="10">
    <w:abstractNumId w:val="11"/>
  </w:num>
  <w:num w:numId="11">
    <w:abstractNumId w:val="28"/>
  </w:num>
  <w:num w:numId="12">
    <w:abstractNumId w:val="0"/>
  </w:num>
  <w:num w:numId="13">
    <w:abstractNumId w:val="9"/>
  </w:num>
  <w:num w:numId="14">
    <w:abstractNumId w:val="14"/>
  </w:num>
  <w:num w:numId="15">
    <w:abstractNumId w:val="6"/>
  </w:num>
  <w:num w:numId="16">
    <w:abstractNumId w:val="20"/>
  </w:num>
  <w:num w:numId="17">
    <w:abstractNumId w:val="27"/>
  </w:num>
  <w:num w:numId="18">
    <w:abstractNumId w:val="22"/>
  </w:num>
  <w:num w:numId="19">
    <w:abstractNumId w:val="26"/>
  </w:num>
  <w:num w:numId="20">
    <w:abstractNumId w:val="1"/>
  </w:num>
  <w:num w:numId="21">
    <w:abstractNumId w:val="13"/>
  </w:num>
  <w:num w:numId="22">
    <w:abstractNumId w:val="33"/>
  </w:num>
  <w:num w:numId="23">
    <w:abstractNumId w:val="21"/>
  </w:num>
  <w:num w:numId="24">
    <w:abstractNumId w:val="10"/>
  </w:num>
  <w:num w:numId="25">
    <w:abstractNumId w:val="3"/>
  </w:num>
  <w:num w:numId="26">
    <w:abstractNumId w:val="37"/>
  </w:num>
  <w:num w:numId="27">
    <w:abstractNumId w:val="31"/>
  </w:num>
  <w:num w:numId="28">
    <w:abstractNumId w:val="8"/>
  </w:num>
  <w:num w:numId="29">
    <w:abstractNumId w:val="17"/>
  </w:num>
  <w:num w:numId="30">
    <w:abstractNumId w:val="5"/>
  </w:num>
  <w:num w:numId="31">
    <w:abstractNumId w:val="25"/>
  </w:num>
  <w:num w:numId="32">
    <w:abstractNumId w:val="29"/>
  </w:num>
  <w:num w:numId="33">
    <w:abstractNumId w:val="7"/>
  </w:num>
  <w:num w:numId="34">
    <w:abstractNumId w:val="4"/>
  </w:num>
  <w:num w:numId="35">
    <w:abstractNumId w:val="38"/>
  </w:num>
  <w:num w:numId="36">
    <w:abstractNumId w:val="32"/>
  </w:num>
  <w:num w:numId="37">
    <w:abstractNumId w:val="23"/>
  </w:num>
  <w:num w:numId="38">
    <w:abstractNumId w:val="16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A8"/>
    <w:rsid w:val="000072B9"/>
    <w:rsid w:val="00011426"/>
    <w:rsid w:val="000130B8"/>
    <w:rsid w:val="00022E0A"/>
    <w:rsid w:val="000278FE"/>
    <w:rsid w:val="00027AA3"/>
    <w:rsid w:val="00040229"/>
    <w:rsid w:val="0005146F"/>
    <w:rsid w:val="0006572A"/>
    <w:rsid w:val="00071D4E"/>
    <w:rsid w:val="00080EEF"/>
    <w:rsid w:val="000811AF"/>
    <w:rsid w:val="000A1C8B"/>
    <w:rsid w:val="000A77B0"/>
    <w:rsid w:val="000B47C9"/>
    <w:rsid w:val="000B691E"/>
    <w:rsid w:val="000C1762"/>
    <w:rsid w:val="000C3ED0"/>
    <w:rsid w:val="000D1CDD"/>
    <w:rsid w:val="000D22A8"/>
    <w:rsid w:val="000D2B70"/>
    <w:rsid w:val="000D6637"/>
    <w:rsid w:val="000E0EA4"/>
    <w:rsid w:val="000E1BA6"/>
    <w:rsid w:val="000E43E6"/>
    <w:rsid w:val="000F60CD"/>
    <w:rsid w:val="00107587"/>
    <w:rsid w:val="00114A06"/>
    <w:rsid w:val="00120E44"/>
    <w:rsid w:val="00122DE8"/>
    <w:rsid w:val="001243B1"/>
    <w:rsid w:val="00126647"/>
    <w:rsid w:val="0014588D"/>
    <w:rsid w:val="00155F87"/>
    <w:rsid w:val="001568F2"/>
    <w:rsid w:val="0016149E"/>
    <w:rsid w:val="001629C8"/>
    <w:rsid w:val="00165F7B"/>
    <w:rsid w:val="0017236A"/>
    <w:rsid w:val="001738C1"/>
    <w:rsid w:val="00174D20"/>
    <w:rsid w:val="0018619D"/>
    <w:rsid w:val="001916DC"/>
    <w:rsid w:val="00193038"/>
    <w:rsid w:val="001A0369"/>
    <w:rsid w:val="001A14E5"/>
    <w:rsid w:val="001B52F3"/>
    <w:rsid w:val="001D0869"/>
    <w:rsid w:val="001E2A73"/>
    <w:rsid w:val="001E38A2"/>
    <w:rsid w:val="001E4CA6"/>
    <w:rsid w:val="00215CAF"/>
    <w:rsid w:val="002212AA"/>
    <w:rsid w:val="00224C9A"/>
    <w:rsid w:val="0023487D"/>
    <w:rsid w:val="00244844"/>
    <w:rsid w:val="00247FCB"/>
    <w:rsid w:val="002722F4"/>
    <w:rsid w:val="002800F1"/>
    <w:rsid w:val="002A039A"/>
    <w:rsid w:val="002A1036"/>
    <w:rsid w:val="002A65FB"/>
    <w:rsid w:val="002B4C0A"/>
    <w:rsid w:val="002B4C27"/>
    <w:rsid w:val="002B59E2"/>
    <w:rsid w:val="002B7E71"/>
    <w:rsid w:val="002E0B9D"/>
    <w:rsid w:val="002F14AB"/>
    <w:rsid w:val="002F4797"/>
    <w:rsid w:val="0030026C"/>
    <w:rsid w:val="003159E6"/>
    <w:rsid w:val="003274D6"/>
    <w:rsid w:val="00330F6F"/>
    <w:rsid w:val="00337124"/>
    <w:rsid w:val="0034187E"/>
    <w:rsid w:val="0034296A"/>
    <w:rsid w:val="0037183B"/>
    <w:rsid w:val="00371D7D"/>
    <w:rsid w:val="00394C24"/>
    <w:rsid w:val="003B1431"/>
    <w:rsid w:val="003E2AE4"/>
    <w:rsid w:val="003F0B88"/>
    <w:rsid w:val="003F75A1"/>
    <w:rsid w:val="004463B9"/>
    <w:rsid w:val="00455AC4"/>
    <w:rsid w:val="0048304C"/>
    <w:rsid w:val="004911C9"/>
    <w:rsid w:val="00492402"/>
    <w:rsid w:val="004B00B8"/>
    <w:rsid w:val="004B287D"/>
    <w:rsid w:val="004B53E8"/>
    <w:rsid w:val="004C476C"/>
    <w:rsid w:val="004D2782"/>
    <w:rsid w:val="004D3F47"/>
    <w:rsid w:val="004E02A1"/>
    <w:rsid w:val="004E02F7"/>
    <w:rsid w:val="004F3FFF"/>
    <w:rsid w:val="004F4B40"/>
    <w:rsid w:val="004F50B7"/>
    <w:rsid w:val="004F7E80"/>
    <w:rsid w:val="00500F42"/>
    <w:rsid w:val="005028E9"/>
    <w:rsid w:val="00504F64"/>
    <w:rsid w:val="00523977"/>
    <w:rsid w:val="00535FB9"/>
    <w:rsid w:val="005362F5"/>
    <w:rsid w:val="0054296F"/>
    <w:rsid w:val="00551AB0"/>
    <w:rsid w:val="00561181"/>
    <w:rsid w:val="00562E7B"/>
    <w:rsid w:val="005646EE"/>
    <w:rsid w:val="0057424D"/>
    <w:rsid w:val="00582711"/>
    <w:rsid w:val="005970E7"/>
    <w:rsid w:val="005A4FD5"/>
    <w:rsid w:val="005A7732"/>
    <w:rsid w:val="005A7CDC"/>
    <w:rsid w:val="005B6AB6"/>
    <w:rsid w:val="005C1703"/>
    <w:rsid w:val="005C4DAE"/>
    <w:rsid w:val="005D5179"/>
    <w:rsid w:val="005E4848"/>
    <w:rsid w:val="005F2500"/>
    <w:rsid w:val="0060274B"/>
    <w:rsid w:val="00603844"/>
    <w:rsid w:val="006147DB"/>
    <w:rsid w:val="0061508C"/>
    <w:rsid w:val="0062034B"/>
    <w:rsid w:val="00623992"/>
    <w:rsid w:val="00623B5D"/>
    <w:rsid w:val="00633F96"/>
    <w:rsid w:val="00640DD2"/>
    <w:rsid w:val="00655E43"/>
    <w:rsid w:val="00666C74"/>
    <w:rsid w:val="0067625C"/>
    <w:rsid w:val="006A20C3"/>
    <w:rsid w:val="006A68B2"/>
    <w:rsid w:val="006A7D7E"/>
    <w:rsid w:val="006B13F1"/>
    <w:rsid w:val="006B28EA"/>
    <w:rsid w:val="006C2635"/>
    <w:rsid w:val="006C5BDB"/>
    <w:rsid w:val="006D7792"/>
    <w:rsid w:val="006E1142"/>
    <w:rsid w:val="00704DFF"/>
    <w:rsid w:val="00706A46"/>
    <w:rsid w:val="00711004"/>
    <w:rsid w:val="0071439D"/>
    <w:rsid w:val="007167A8"/>
    <w:rsid w:val="00721D7F"/>
    <w:rsid w:val="00727981"/>
    <w:rsid w:val="007337E9"/>
    <w:rsid w:val="00740F1F"/>
    <w:rsid w:val="00742C52"/>
    <w:rsid w:val="00743769"/>
    <w:rsid w:val="007469BB"/>
    <w:rsid w:val="00753124"/>
    <w:rsid w:val="00772FBE"/>
    <w:rsid w:val="0077407E"/>
    <w:rsid w:val="007773D7"/>
    <w:rsid w:val="00777916"/>
    <w:rsid w:val="0079232E"/>
    <w:rsid w:val="007A00F7"/>
    <w:rsid w:val="007A2F6D"/>
    <w:rsid w:val="007B2A8B"/>
    <w:rsid w:val="007B5B8C"/>
    <w:rsid w:val="007C06DE"/>
    <w:rsid w:val="007C397F"/>
    <w:rsid w:val="007D0381"/>
    <w:rsid w:val="007E0D12"/>
    <w:rsid w:val="007E11BB"/>
    <w:rsid w:val="007E1E52"/>
    <w:rsid w:val="007E585B"/>
    <w:rsid w:val="007F46EE"/>
    <w:rsid w:val="00802D9F"/>
    <w:rsid w:val="0082026D"/>
    <w:rsid w:val="008325A1"/>
    <w:rsid w:val="0083325A"/>
    <w:rsid w:val="00841395"/>
    <w:rsid w:val="00854F7A"/>
    <w:rsid w:val="00860255"/>
    <w:rsid w:val="00863C03"/>
    <w:rsid w:val="0087457F"/>
    <w:rsid w:val="00877199"/>
    <w:rsid w:val="00881225"/>
    <w:rsid w:val="00883B4C"/>
    <w:rsid w:val="008C0C52"/>
    <w:rsid w:val="008C20D1"/>
    <w:rsid w:val="008C3A0A"/>
    <w:rsid w:val="008C79AD"/>
    <w:rsid w:val="008E068F"/>
    <w:rsid w:val="008E726E"/>
    <w:rsid w:val="008F05E4"/>
    <w:rsid w:val="008F4212"/>
    <w:rsid w:val="008F68B2"/>
    <w:rsid w:val="009017F1"/>
    <w:rsid w:val="00905519"/>
    <w:rsid w:val="00920E0A"/>
    <w:rsid w:val="00922B4C"/>
    <w:rsid w:val="00923DAE"/>
    <w:rsid w:val="00924279"/>
    <w:rsid w:val="00926FBA"/>
    <w:rsid w:val="0093120F"/>
    <w:rsid w:val="009358BA"/>
    <w:rsid w:val="0095205D"/>
    <w:rsid w:val="009644F1"/>
    <w:rsid w:val="00964875"/>
    <w:rsid w:val="009656C7"/>
    <w:rsid w:val="0097481D"/>
    <w:rsid w:val="00974BC6"/>
    <w:rsid w:val="0097645D"/>
    <w:rsid w:val="0098592F"/>
    <w:rsid w:val="00995093"/>
    <w:rsid w:val="0099541A"/>
    <w:rsid w:val="009A519F"/>
    <w:rsid w:val="009B723C"/>
    <w:rsid w:val="009B7B09"/>
    <w:rsid w:val="009D1CBC"/>
    <w:rsid w:val="009E6E97"/>
    <w:rsid w:val="009E72B5"/>
    <w:rsid w:val="009F70BA"/>
    <w:rsid w:val="00A00FDD"/>
    <w:rsid w:val="00A01991"/>
    <w:rsid w:val="00A01B6B"/>
    <w:rsid w:val="00A052F0"/>
    <w:rsid w:val="00A12AE3"/>
    <w:rsid w:val="00A17AC7"/>
    <w:rsid w:val="00A27476"/>
    <w:rsid w:val="00A41500"/>
    <w:rsid w:val="00A55515"/>
    <w:rsid w:val="00A61F92"/>
    <w:rsid w:val="00A700CA"/>
    <w:rsid w:val="00A70137"/>
    <w:rsid w:val="00A91788"/>
    <w:rsid w:val="00A9495E"/>
    <w:rsid w:val="00AA33EB"/>
    <w:rsid w:val="00AA7D2C"/>
    <w:rsid w:val="00AC4479"/>
    <w:rsid w:val="00AC68C5"/>
    <w:rsid w:val="00AD19EF"/>
    <w:rsid w:val="00AD23B1"/>
    <w:rsid w:val="00AE77E2"/>
    <w:rsid w:val="00B01A76"/>
    <w:rsid w:val="00B21CC7"/>
    <w:rsid w:val="00B21DF9"/>
    <w:rsid w:val="00B3214E"/>
    <w:rsid w:val="00B36DBF"/>
    <w:rsid w:val="00B4139D"/>
    <w:rsid w:val="00B629C2"/>
    <w:rsid w:val="00B644A7"/>
    <w:rsid w:val="00B6691C"/>
    <w:rsid w:val="00B7172B"/>
    <w:rsid w:val="00BA30C0"/>
    <w:rsid w:val="00BA5CC9"/>
    <w:rsid w:val="00BB1FA8"/>
    <w:rsid w:val="00BB3330"/>
    <w:rsid w:val="00BC0448"/>
    <w:rsid w:val="00BC26D8"/>
    <w:rsid w:val="00BC4AC5"/>
    <w:rsid w:val="00BD5FC0"/>
    <w:rsid w:val="00BD6AC4"/>
    <w:rsid w:val="00BE3D78"/>
    <w:rsid w:val="00BF0431"/>
    <w:rsid w:val="00BF65B5"/>
    <w:rsid w:val="00BF7075"/>
    <w:rsid w:val="00C00E58"/>
    <w:rsid w:val="00C16ADE"/>
    <w:rsid w:val="00C43ABC"/>
    <w:rsid w:val="00C4459F"/>
    <w:rsid w:val="00C52079"/>
    <w:rsid w:val="00C664C7"/>
    <w:rsid w:val="00C719D4"/>
    <w:rsid w:val="00C83BF3"/>
    <w:rsid w:val="00C83C5B"/>
    <w:rsid w:val="00C978D0"/>
    <w:rsid w:val="00CB0DE5"/>
    <w:rsid w:val="00CB280E"/>
    <w:rsid w:val="00CC0217"/>
    <w:rsid w:val="00CC332D"/>
    <w:rsid w:val="00CE7003"/>
    <w:rsid w:val="00CF549D"/>
    <w:rsid w:val="00D07AC8"/>
    <w:rsid w:val="00D128CA"/>
    <w:rsid w:val="00D24693"/>
    <w:rsid w:val="00D2490B"/>
    <w:rsid w:val="00D25192"/>
    <w:rsid w:val="00D3092A"/>
    <w:rsid w:val="00D35A74"/>
    <w:rsid w:val="00D4334F"/>
    <w:rsid w:val="00D46AD5"/>
    <w:rsid w:val="00D53770"/>
    <w:rsid w:val="00D653E5"/>
    <w:rsid w:val="00D720B3"/>
    <w:rsid w:val="00D80941"/>
    <w:rsid w:val="00D95AC6"/>
    <w:rsid w:val="00DA0D7B"/>
    <w:rsid w:val="00DD5A39"/>
    <w:rsid w:val="00DD61EB"/>
    <w:rsid w:val="00DE36C6"/>
    <w:rsid w:val="00DE4526"/>
    <w:rsid w:val="00DE66EE"/>
    <w:rsid w:val="00DF52A5"/>
    <w:rsid w:val="00E05CEC"/>
    <w:rsid w:val="00E10D5A"/>
    <w:rsid w:val="00E15A6F"/>
    <w:rsid w:val="00E219E3"/>
    <w:rsid w:val="00E23B8C"/>
    <w:rsid w:val="00E35995"/>
    <w:rsid w:val="00E36E62"/>
    <w:rsid w:val="00E36EAA"/>
    <w:rsid w:val="00E43BC7"/>
    <w:rsid w:val="00E50399"/>
    <w:rsid w:val="00E51C3D"/>
    <w:rsid w:val="00E537D9"/>
    <w:rsid w:val="00E64F23"/>
    <w:rsid w:val="00E72E25"/>
    <w:rsid w:val="00E73430"/>
    <w:rsid w:val="00E80A43"/>
    <w:rsid w:val="00E85D0F"/>
    <w:rsid w:val="00E94B39"/>
    <w:rsid w:val="00EA5B53"/>
    <w:rsid w:val="00EA5ECC"/>
    <w:rsid w:val="00ED0917"/>
    <w:rsid w:val="00ED105D"/>
    <w:rsid w:val="00EE3207"/>
    <w:rsid w:val="00EE3AC4"/>
    <w:rsid w:val="00EE7F68"/>
    <w:rsid w:val="00EF3856"/>
    <w:rsid w:val="00F0441C"/>
    <w:rsid w:val="00F2287F"/>
    <w:rsid w:val="00F55782"/>
    <w:rsid w:val="00F63FC8"/>
    <w:rsid w:val="00F81975"/>
    <w:rsid w:val="00F903A2"/>
    <w:rsid w:val="00FA61FB"/>
    <w:rsid w:val="00FA70FB"/>
    <w:rsid w:val="00FA73CA"/>
    <w:rsid w:val="00FA75CC"/>
    <w:rsid w:val="00FB076C"/>
    <w:rsid w:val="00FB28B2"/>
    <w:rsid w:val="00FC3CF6"/>
    <w:rsid w:val="00FD2932"/>
    <w:rsid w:val="00FE028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E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38A2"/>
  </w:style>
  <w:style w:type="paragraph" w:styleId="Pieddepage">
    <w:name w:val="footer"/>
    <w:basedOn w:val="Normal"/>
    <w:link w:val="PieddepageCar"/>
    <w:uiPriority w:val="99"/>
    <w:unhideWhenUsed/>
    <w:rsid w:val="001E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8A2"/>
  </w:style>
  <w:style w:type="table" w:styleId="Grille">
    <w:name w:val="Table Grid"/>
    <w:basedOn w:val="TableauNormal"/>
    <w:uiPriority w:val="59"/>
    <w:rsid w:val="008F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E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38A2"/>
  </w:style>
  <w:style w:type="paragraph" w:styleId="Pieddepage">
    <w:name w:val="footer"/>
    <w:basedOn w:val="Normal"/>
    <w:link w:val="PieddepageCar"/>
    <w:uiPriority w:val="99"/>
    <w:unhideWhenUsed/>
    <w:rsid w:val="001E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8A2"/>
  </w:style>
  <w:style w:type="table" w:styleId="Grille">
    <w:name w:val="Table Grid"/>
    <w:basedOn w:val="TableauNormal"/>
    <w:uiPriority w:val="59"/>
    <w:rsid w:val="008F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D54C-CFB0-1E43-BF6C-A3F3CDFA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1922</Words>
  <Characters>10573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</dc:creator>
  <cp:lastModifiedBy>champa chey</cp:lastModifiedBy>
  <cp:revision>2</cp:revision>
  <dcterms:created xsi:type="dcterms:W3CDTF">2020-04-21T16:15:00Z</dcterms:created>
  <dcterms:modified xsi:type="dcterms:W3CDTF">2020-04-21T16:15:00Z</dcterms:modified>
</cp:coreProperties>
</file>