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32A3F" w14:textId="77777777" w:rsidR="004C45A8" w:rsidRPr="009A786F" w:rsidRDefault="004C45A8" w:rsidP="004C45A8">
      <w:pPr>
        <w:autoSpaceDE w:val="0"/>
        <w:autoSpaceDN w:val="0"/>
        <w:adjustRightInd w:val="0"/>
        <w:rPr>
          <w:rFonts w:cs="Cambria"/>
          <w:b/>
          <w:bCs/>
          <w:sz w:val="36"/>
          <w:szCs w:val="36"/>
          <w:u w:val="single"/>
        </w:rPr>
      </w:pPr>
      <w:r>
        <w:rPr>
          <w:rFonts w:cs="Cambria"/>
          <w:b/>
          <w:bCs/>
          <w:sz w:val="36"/>
          <w:szCs w:val="36"/>
          <w:u w:val="single"/>
        </w:rPr>
        <w:t>Titre I) LA GESTION DES TABLEAUX DE BORD</w:t>
      </w:r>
    </w:p>
    <w:p w14:paraId="55688C6D" w14:textId="77777777" w:rsidR="004C45A8" w:rsidRDefault="004C45A8" w:rsidP="004C45A8">
      <w:pPr>
        <w:autoSpaceDE w:val="0"/>
        <w:autoSpaceDN w:val="0"/>
        <w:adjustRightInd w:val="0"/>
        <w:rPr>
          <w:rFonts w:cs="Cambria"/>
          <w:b/>
          <w:bCs/>
          <w:sz w:val="36"/>
          <w:szCs w:val="36"/>
        </w:rPr>
      </w:pPr>
    </w:p>
    <w:p w14:paraId="26E00DC3" w14:textId="77777777" w:rsidR="004C45A8" w:rsidRPr="00D947F9" w:rsidRDefault="004C45A8" w:rsidP="004C45A8">
      <w:pPr>
        <w:autoSpaceDE w:val="0"/>
        <w:autoSpaceDN w:val="0"/>
        <w:adjustRightInd w:val="0"/>
        <w:rPr>
          <w:rFonts w:cs="Cambria"/>
          <w:b/>
          <w:bCs/>
          <w:sz w:val="32"/>
          <w:szCs w:val="32"/>
          <w:u w:val="single"/>
        </w:rPr>
      </w:pPr>
      <w:r>
        <w:rPr>
          <w:rFonts w:cs="Cambria"/>
          <w:b/>
          <w:bCs/>
          <w:sz w:val="32"/>
          <w:szCs w:val="32"/>
        </w:rPr>
        <w:t xml:space="preserve">Chapitre </w:t>
      </w:r>
      <w:r w:rsidRPr="00D947F9">
        <w:rPr>
          <w:rFonts w:cs="Cambria"/>
          <w:b/>
          <w:bCs/>
          <w:sz w:val="32"/>
          <w:szCs w:val="32"/>
        </w:rPr>
        <w:t xml:space="preserve">A) </w:t>
      </w:r>
      <w:r w:rsidRPr="00D947F9">
        <w:rPr>
          <w:rFonts w:cs="Cambria"/>
          <w:b/>
          <w:bCs/>
          <w:sz w:val="32"/>
          <w:szCs w:val="32"/>
          <w:u w:val="single"/>
        </w:rPr>
        <w:t>DEFINITIONS ET OBJECTIFS DU TABLEAU DE BORD</w:t>
      </w:r>
    </w:p>
    <w:p w14:paraId="7C7CB559" w14:textId="77777777" w:rsidR="004C45A8" w:rsidRDefault="004C45A8" w:rsidP="004C45A8">
      <w:pPr>
        <w:autoSpaceDE w:val="0"/>
        <w:autoSpaceDN w:val="0"/>
        <w:adjustRightInd w:val="0"/>
        <w:jc w:val="both"/>
        <w:rPr>
          <w:rFonts w:cs="Cambria"/>
          <w:bCs/>
          <w:sz w:val="28"/>
          <w:szCs w:val="28"/>
        </w:rPr>
      </w:pPr>
    </w:p>
    <w:p w14:paraId="57460A6C" w14:textId="77777777" w:rsidR="004C45A8" w:rsidRPr="00A43D9F" w:rsidRDefault="004C45A8" w:rsidP="004C45A8">
      <w:pPr>
        <w:autoSpaceDE w:val="0"/>
        <w:autoSpaceDN w:val="0"/>
        <w:adjustRightInd w:val="0"/>
        <w:jc w:val="both"/>
        <w:rPr>
          <w:rFonts w:cs="Cambria"/>
          <w:bCs/>
          <w:sz w:val="28"/>
          <w:szCs w:val="28"/>
        </w:rPr>
      </w:pPr>
      <w:r w:rsidRPr="00A43D9F">
        <w:rPr>
          <w:rFonts w:cs="Cambria"/>
          <w:bCs/>
          <w:sz w:val="28"/>
          <w:szCs w:val="28"/>
        </w:rPr>
        <w:t xml:space="preserve">Le responsable de l’unité </w:t>
      </w:r>
      <w:r w:rsidR="00EE5AFD">
        <w:rPr>
          <w:rFonts w:cs="Cambria"/>
          <w:bCs/>
          <w:sz w:val="28"/>
          <w:szCs w:val="28"/>
        </w:rPr>
        <w:t>commerciale</w:t>
      </w:r>
      <w:r w:rsidRPr="00A43D9F">
        <w:rPr>
          <w:rFonts w:cs="Cambria"/>
          <w:bCs/>
          <w:sz w:val="28"/>
          <w:szCs w:val="28"/>
        </w:rPr>
        <w:t xml:space="preserve"> peut être comparé </w:t>
      </w:r>
      <w:r>
        <w:rPr>
          <w:rFonts w:cs="Cambria"/>
          <w:bCs/>
          <w:sz w:val="28"/>
          <w:szCs w:val="28"/>
        </w:rPr>
        <w:t>à un capitaine de navire. Il décide du cap à suivre et engage, le cas échéant, des actions correctrices. Le tableau de bord lui fournit des informations indispensables à cette prise de décision</w:t>
      </w:r>
    </w:p>
    <w:p w14:paraId="350AAB13" w14:textId="77777777" w:rsidR="004C45A8" w:rsidRPr="0038229C" w:rsidRDefault="004C45A8" w:rsidP="004C45A8">
      <w:pPr>
        <w:autoSpaceDE w:val="0"/>
        <w:autoSpaceDN w:val="0"/>
        <w:adjustRightInd w:val="0"/>
        <w:jc w:val="both"/>
        <w:rPr>
          <w:rFonts w:cs="Cambria"/>
          <w:b/>
          <w:bCs/>
          <w:sz w:val="16"/>
          <w:szCs w:val="16"/>
          <w:u w:val="single"/>
        </w:rPr>
      </w:pPr>
    </w:p>
    <w:p w14:paraId="7551C992" w14:textId="77777777" w:rsidR="004C45A8" w:rsidRPr="00D947F9" w:rsidRDefault="004C45A8" w:rsidP="004C45A8">
      <w:pPr>
        <w:autoSpaceDE w:val="0"/>
        <w:autoSpaceDN w:val="0"/>
        <w:adjustRightInd w:val="0"/>
        <w:jc w:val="both"/>
        <w:rPr>
          <w:rFonts w:cs="Cambria"/>
          <w:b/>
          <w:bCs/>
          <w:sz w:val="32"/>
          <w:szCs w:val="32"/>
          <w:u w:val="single"/>
        </w:rPr>
      </w:pPr>
      <w:r w:rsidRPr="00D947F9">
        <w:rPr>
          <w:rFonts w:cs="Cambria"/>
          <w:b/>
          <w:bCs/>
          <w:sz w:val="32"/>
          <w:szCs w:val="32"/>
        </w:rPr>
        <w:t xml:space="preserve">‘1) </w:t>
      </w:r>
      <w:r w:rsidRPr="00D947F9">
        <w:rPr>
          <w:rFonts w:cs="Cambria"/>
          <w:b/>
          <w:bCs/>
          <w:sz w:val="32"/>
          <w:szCs w:val="32"/>
          <w:u w:val="single"/>
        </w:rPr>
        <w:t>Définition</w:t>
      </w:r>
    </w:p>
    <w:p w14:paraId="5DAEE5CA" w14:textId="77777777" w:rsidR="004C45A8" w:rsidRDefault="004C45A8" w:rsidP="004C45A8">
      <w:pPr>
        <w:autoSpaceDE w:val="0"/>
        <w:autoSpaceDN w:val="0"/>
        <w:adjustRightInd w:val="0"/>
        <w:rPr>
          <w:rFonts w:cs="Cambria"/>
          <w:bCs/>
          <w:sz w:val="28"/>
          <w:szCs w:val="28"/>
          <w:u w:val="single"/>
        </w:rPr>
      </w:pPr>
    </w:p>
    <w:p w14:paraId="19B26B0C" w14:textId="77777777" w:rsidR="004C45A8" w:rsidRPr="00D947F9" w:rsidRDefault="004C45A8" w:rsidP="004C45A8">
      <w:pPr>
        <w:autoSpaceDE w:val="0"/>
        <w:autoSpaceDN w:val="0"/>
        <w:adjustRightInd w:val="0"/>
        <w:rPr>
          <w:rFonts w:cs="Cambria"/>
          <w:bCs/>
          <w:sz w:val="28"/>
          <w:szCs w:val="28"/>
        </w:rPr>
      </w:pPr>
      <w:r w:rsidRPr="00D947F9">
        <w:rPr>
          <w:rFonts w:cs="Cambria"/>
          <w:bCs/>
          <w:sz w:val="28"/>
          <w:szCs w:val="28"/>
        </w:rPr>
        <w:t>Le tab</w:t>
      </w:r>
      <w:r>
        <w:rPr>
          <w:rFonts w:cs="Cambria"/>
          <w:bCs/>
          <w:sz w:val="28"/>
          <w:szCs w:val="28"/>
        </w:rPr>
        <w:t>l</w:t>
      </w:r>
      <w:r w:rsidRPr="00D947F9">
        <w:rPr>
          <w:rFonts w:cs="Cambria"/>
          <w:bCs/>
          <w:sz w:val="28"/>
          <w:szCs w:val="28"/>
        </w:rPr>
        <w:t>eau de bord est un ensemble d’indicateurs de pilotage, réalisé et complété périodiquement, par ou à l’intention du (des) responsables de l’unité, afin de guider les décisions et les actions en vue d’atteindre les objectifs de performance.</w:t>
      </w:r>
    </w:p>
    <w:p w14:paraId="6CC17E14" w14:textId="77777777" w:rsidR="004C45A8" w:rsidRPr="00B05534" w:rsidRDefault="004C45A8" w:rsidP="004C45A8">
      <w:pPr>
        <w:autoSpaceDE w:val="0"/>
        <w:autoSpaceDN w:val="0"/>
        <w:adjustRightInd w:val="0"/>
        <w:rPr>
          <w:rFonts w:cs="Cambria"/>
          <w:bCs/>
          <w:sz w:val="16"/>
          <w:szCs w:val="16"/>
        </w:rPr>
      </w:pPr>
    </w:p>
    <w:p w14:paraId="560EB37C" w14:textId="77777777" w:rsidR="004C45A8" w:rsidRPr="00D947F9" w:rsidRDefault="004C45A8" w:rsidP="004C45A8">
      <w:pPr>
        <w:autoSpaceDE w:val="0"/>
        <w:autoSpaceDN w:val="0"/>
        <w:adjustRightInd w:val="0"/>
        <w:rPr>
          <w:rFonts w:cs="Cambria"/>
          <w:bCs/>
          <w:sz w:val="28"/>
          <w:szCs w:val="28"/>
          <w:u w:val="single"/>
        </w:rPr>
      </w:pPr>
      <w:r>
        <w:rPr>
          <w:rFonts w:cs="Cambria"/>
          <w:b/>
          <w:bCs/>
          <w:sz w:val="32"/>
          <w:szCs w:val="32"/>
        </w:rPr>
        <w:t>2</w:t>
      </w:r>
      <w:r w:rsidRPr="00D947F9">
        <w:rPr>
          <w:rFonts w:cs="Cambria"/>
          <w:b/>
          <w:bCs/>
          <w:sz w:val="32"/>
          <w:szCs w:val="32"/>
        </w:rPr>
        <w:t xml:space="preserve">) </w:t>
      </w:r>
      <w:r w:rsidRPr="00D947F9">
        <w:rPr>
          <w:rFonts w:cs="Cambria"/>
          <w:b/>
          <w:bCs/>
          <w:sz w:val="32"/>
          <w:szCs w:val="32"/>
          <w:u w:val="single"/>
        </w:rPr>
        <w:t>OBJECTIFS</w:t>
      </w:r>
    </w:p>
    <w:p w14:paraId="0D087D62" w14:textId="77777777" w:rsidR="004C45A8" w:rsidRPr="00D947F9" w:rsidRDefault="004C45A8" w:rsidP="004C45A8">
      <w:pPr>
        <w:autoSpaceDE w:val="0"/>
        <w:autoSpaceDN w:val="0"/>
        <w:adjustRightInd w:val="0"/>
        <w:rPr>
          <w:rFonts w:cs="Cambria"/>
          <w:bCs/>
          <w:sz w:val="28"/>
          <w:szCs w:val="28"/>
        </w:rPr>
      </w:pPr>
    </w:p>
    <w:p w14:paraId="19BECA35" w14:textId="77777777" w:rsidR="004C45A8" w:rsidRDefault="004C45A8" w:rsidP="004C45A8">
      <w:pPr>
        <w:autoSpaceDE w:val="0"/>
        <w:autoSpaceDN w:val="0"/>
        <w:adjustRightInd w:val="0"/>
        <w:rPr>
          <w:rFonts w:cs="Cambria"/>
          <w:bCs/>
          <w:sz w:val="28"/>
          <w:szCs w:val="28"/>
        </w:rPr>
      </w:pPr>
      <w:r>
        <w:rPr>
          <w:rFonts w:cs="Cambria"/>
          <w:bCs/>
          <w:sz w:val="28"/>
          <w:szCs w:val="28"/>
        </w:rPr>
        <w:t>L’objectif du tableau de bord diffère selon les responsabilités du manager, il peut par exemple :</w:t>
      </w:r>
    </w:p>
    <w:p w14:paraId="4760102C" w14:textId="77777777" w:rsidR="004C45A8" w:rsidRPr="00B05534" w:rsidRDefault="004C45A8" w:rsidP="004C45A8">
      <w:pPr>
        <w:autoSpaceDE w:val="0"/>
        <w:autoSpaceDN w:val="0"/>
        <w:adjustRightInd w:val="0"/>
        <w:rPr>
          <w:rFonts w:cs="Cambria"/>
          <w:bCs/>
          <w:sz w:val="16"/>
          <w:szCs w:val="16"/>
        </w:rPr>
      </w:pPr>
    </w:p>
    <w:p w14:paraId="4B59354F" w14:textId="77777777" w:rsidR="004C45A8" w:rsidRPr="0038229C" w:rsidRDefault="004C45A8" w:rsidP="004C45A8">
      <w:pPr>
        <w:pStyle w:val="Paragraphedeliste"/>
        <w:numPr>
          <w:ilvl w:val="0"/>
          <w:numId w:val="1"/>
        </w:numPr>
        <w:autoSpaceDE w:val="0"/>
        <w:autoSpaceDN w:val="0"/>
        <w:adjustRightInd w:val="0"/>
        <w:rPr>
          <w:rFonts w:cs="Cambria"/>
          <w:bCs/>
          <w:sz w:val="28"/>
          <w:szCs w:val="28"/>
        </w:rPr>
      </w:pPr>
      <w:r w:rsidRPr="0038229C">
        <w:rPr>
          <w:rFonts w:cs="Cambria"/>
          <w:bCs/>
          <w:sz w:val="28"/>
          <w:szCs w:val="28"/>
        </w:rPr>
        <w:t>Mesurer les performances commerciales de l’unité ou d’un rayon ou d’un service</w:t>
      </w:r>
    </w:p>
    <w:p w14:paraId="385F02EC" w14:textId="77777777" w:rsidR="004C45A8" w:rsidRPr="0038229C" w:rsidRDefault="004C45A8" w:rsidP="004C45A8">
      <w:pPr>
        <w:pStyle w:val="Paragraphedeliste"/>
        <w:numPr>
          <w:ilvl w:val="0"/>
          <w:numId w:val="1"/>
        </w:numPr>
        <w:autoSpaceDE w:val="0"/>
        <w:autoSpaceDN w:val="0"/>
        <w:adjustRightInd w:val="0"/>
        <w:rPr>
          <w:rFonts w:cs="Cambria"/>
          <w:bCs/>
          <w:sz w:val="28"/>
          <w:szCs w:val="28"/>
        </w:rPr>
      </w:pPr>
      <w:r w:rsidRPr="0038229C">
        <w:rPr>
          <w:rFonts w:cs="Cambria"/>
          <w:bCs/>
          <w:sz w:val="28"/>
          <w:szCs w:val="28"/>
        </w:rPr>
        <w:t>Evaluer qualitativement l’équipe commerciale par des indicateurs sociaux</w:t>
      </w:r>
    </w:p>
    <w:p w14:paraId="2FFFEECD" w14:textId="77777777" w:rsidR="004C45A8" w:rsidRPr="0038229C" w:rsidRDefault="004C45A8" w:rsidP="004C45A8">
      <w:pPr>
        <w:pStyle w:val="Paragraphedeliste"/>
        <w:numPr>
          <w:ilvl w:val="0"/>
          <w:numId w:val="1"/>
        </w:numPr>
        <w:autoSpaceDE w:val="0"/>
        <w:autoSpaceDN w:val="0"/>
        <w:adjustRightInd w:val="0"/>
        <w:rPr>
          <w:rFonts w:cs="Cambria"/>
          <w:bCs/>
          <w:sz w:val="28"/>
          <w:szCs w:val="28"/>
        </w:rPr>
      </w:pPr>
      <w:r w:rsidRPr="0038229C">
        <w:rPr>
          <w:rFonts w:cs="Cambria"/>
          <w:bCs/>
          <w:sz w:val="28"/>
          <w:szCs w:val="28"/>
        </w:rPr>
        <w:t>Analyser le service achat et approvisionnement</w:t>
      </w:r>
    </w:p>
    <w:p w14:paraId="08790ADD" w14:textId="77777777" w:rsidR="004C45A8" w:rsidRPr="0038229C" w:rsidRDefault="004C45A8" w:rsidP="004C45A8">
      <w:pPr>
        <w:pStyle w:val="Paragraphedeliste"/>
        <w:numPr>
          <w:ilvl w:val="0"/>
          <w:numId w:val="1"/>
        </w:numPr>
        <w:autoSpaceDE w:val="0"/>
        <w:autoSpaceDN w:val="0"/>
        <w:adjustRightInd w:val="0"/>
        <w:rPr>
          <w:rFonts w:cs="Cambria"/>
          <w:bCs/>
          <w:sz w:val="28"/>
          <w:szCs w:val="28"/>
        </w:rPr>
      </w:pPr>
      <w:r w:rsidRPr="0038229C">
        <w:rPr>
          <w:rFonts w:cs="Cambria"/>
          <w:bCs/>
          <w:sz w:val="28"/>
          <w:szCs w:val="28"/>
        </w:rPr>
        <w:t>Mesurer la satisfaction à travers le SAV</w:t>
      </w:r>
    </w:p>
    <w:p w14:paraId="26A27257" w14:textId="77777777" w:rsidR="004C45A8" w:rsidRPr="0038229C" w:rsidRDefault="004C45A8" w:rsidP="004C45A8">
      <w:pPr>
        <w:pStyle w:val="Paragraphedeliste"/>
        <w:numPr>
          <w:ilvl w:val="0"/>
          <w:numId w:val="1"/>
        </w:numPr>
        <w:autoSpaceDE w:val="0"/>
        <w:autoSpaceDN w:val="0"/>
        <w:adjustRightInd w:val="0"/>
        <w:rPr>
          <w:rFonts w:cs="Cambria"/>
          <w:bCs/>
          <w:sz w:val="28"/>
          <w:szCs w:val="28"/>
        </w:rPr>
      </w:pPr>
      <w:r w:rsidRPr="0038229C">
        <w:rPr>
          <w:rFonts w:cs="Cambria"/>
          <w:bCs/>
          <w:sz w:val="28"/>
          <w:szCs w:val="28"/>
        </w:rPr>
        <w:t>Evaluer la performance du système d’information informatisé</w:t>
      </w:r>
    </w:p>
    <w:p w14:paraId="410933F8" w14:textId="77777777" w:rsidR="004C45A8" w:rsidRPr="0038229C" w:rsidRDefault="004C45A8" w:rsidP="004C45A8">
      <w:pPr>
        <w:pStyle w:val="Paragraphedeliste"/>
        <w:numPr>
          <w:ilvl w:val="0"/>
          <w:numId w:val="1"/>
        </w:numPr>
        <w:autoSpaceDE w:val="0"/>
        <w:autoSpaceDN w:val="0"/>
        <w:adjustRightInd w:val="0"/>
        <w:rPr>
          <w:rFonts w:cs="Cambria"/>
          <w:bCs/>
          <w:sz w:val="28"/>
          <w:szCs w:val="28"/>
        </w:rPr>
      </w:pPr>
      <w:r w:rsidRPr="0038229C">
        <w:rPr>
          <w:rFonts w:cs="Cambria"/>
          <w:bCs/>
          <w:sz w:val="28"/>
          <w:szCs w:val="28"/>
        </w:rPr>
        <w:t>Mesurer le degré d’avancement du projet</w:t>
      </w:r>
    </w:p>
    <w:p w14:paraId="191B8C0F" w14:textId="77777777" w:rsidR="004C45A8" w:rsidRPr="0038229C" w:rsidRDefault="004C45A8" w:rsidP="004C45A8">
      <w:pPr>
        <w:pStyle w:val="Paragraphedeliste"/>
        <w:numPr>
          <w:ilvl w:val="0"/>
          <w:numId w:val="1"/>
        </w:numPr>
        <w:autoSpaceDE w:val="0"/>
        <w:autoSpaceDN w:val="0"/>
        <w:adjustRightInd w:val="0"/>
        <w:rPr>
          <w:rFonts w:cs="Cambria"/>
          <w:bCs/>
          <w:sz w:val="28"/>
          <w:szCs w:val="28"/>
        </w:rPr>
      </w:pPr>
      <w:r w:rsidRPr="0038229C">
        <w:rPr>
          <w:rFonts w:cs="Cambria"/>
          <w:bCs/>
          <w:sz w:val="28"/>
          <w:szCs w:val="28"/>
        </w:rPr>
        <w:t>Etc…</w:t>
      </w:r>
    </w:p>
    <w:p w14:paraId="50D8E28E" w14:textId="77777777" w:rsidR="004C45A8" w:rsidRDefault="004C45A8" w:rsidP="004C45A8">
      <w:pPr>
        <w:autoSpaceDE w:val="0"/>
        <w:autoSpaceDN w:val="0"/>
        <w:adjustRightInd w:val="0"/>
        <w:rPr>
          <w:rFonts w:cs="Cambria"/>
          <w:bCs/>
          <w:sz w:val="28"/>
          <w:szCs w:val="28"/>
        </w:rPr>
      </w:pPr>
    </w:p>
    <w:p w14:paraId="2B7849E3" w14:textId="77777777" w:rsidR="004C45A8" w:rsidRDefault="004C45A8" w:rsidP="004C45A8">
      <w:pPr>
        <w:autoSpaceDE w:val="0"/>
        <w:autoSpaceDN w:val="0"/>
        <w:adjustRightInd w:val="0"/>
        <w:rPr>
          <w:rFonts w:cs="Cambria"/>
          <w:bCs/>
          <w:sz w:val="28"/>
          <w:szCs w:val="28"/>
        </w:rPr>
      </w:pPr>
      <w:r>
        <w:rPr>
          <w:rFonts w:cs="Cambria"/>
          <w:bCs/>
          <w:sz w:val="28"/>
          <w:szCs w:val="28"/>
        </w:rPr>
        <w:t>Quelque soit le champ d’investigation du manager, le tableau de bord doit permettre de :</w:t>
      </w:r>
    </w:p>
    <w:p w14:paraId="40B75D4F" w14:textId="77777777" w:rsidR="004C45A8" w:rsidRDefault="004C45A8" w:rsidP="004C45A8">
      <w:pPr>
        <w:autoSpaceDE w:val="0"/>
        <w:autoSpaceDN w:val="0"/>
        <w:adjustRightInd w:val="0"/>
        <w:rPr>
          <w:rFonts w:cs="Cambria"/>
          <w:bCs/>
          <w:sz w:val="28"/>
          <w:szCs w:val="28"/>
        </w:rPr>
      </w:pPr>
    </w:p>
    <w:p w14:paraId="5583835A" w14:textId="77777777" w:rsidR="004C45A8" w:rsidRPr="00E4185E" w:rsidRDefault="004C45A8" w:rsidP="004C45A8">
      <w:pPr>
        <w:pStyle w:val="Paragraphedeliste"/>
        <w:numPr>
          <w:ilvl w:val="0"/>
          <w:numId w:val="2"/>
        </w:numPr>
        <w:autoSpaceDE w:val="0"/>
        <w:autoSpaceDN w:val="0"/>
        <w:adjustRightInd w:val="0"/>
        <w:rPr>
          <w:rFonts w:cs="Cambria"/>
          <w:bCs/>
          <w:sz w:val="28"/>
          <w:szCs w:val="28"/>
        </w:rPr>
      </w:pPr>
      <w:r w:rsidRPr="00E4185E">
        <w:rPr>
          <w:rFonts w:cs="Cambria"/>
          <w:bCs/>
          <w:sz w:val="28"/>
          <w:szCs w:val="28"/>
        </w:rPr>
        <w:t>Mesurer les performances par rapport aux objectifs fixés</w:t>
      </w:r>
    </w:p>
    <w:p w14:paraId="315303DD" w14:textId="77777777" w:rsidR="004C45A8" w:rsidRPr="00E4185E" w:rsidRDefault="004C45A8" w:rsidP="004C45A8">
      <w:pPr>
        <w:pStyle w:val="Paragraphedeliste"/>
        <w:numPr>
          <w:ilvl w:val="0"/>
          <w:numId w:val="2"/>
        </w:numPr>
        <w:autoSpaceDE w:val="0"/>
        <w:autoSpaceDN w:val="0"/>
        <w:adjustRightInd w:val="0"/>
        <w:rPr>
          <w:rFonts w:cs="Cambria"/>
          <w:bCs/>
          <w:sz w:val="28"/>
          <w:szCs w:val="28"/>
        </w:rPr>
      </w:pPr>
      <w:r w:rsidRPr="00E4185E">
        <w:rPr>
          <w:rFonts w:cs="Cambria"/>
          <w:bCs/>
          <w:sz w:val="28"/>
          <w:szCs w:val="28"/>
        </w:rPr>
        <w:t>Porter un diagnostic pour identifier les points faibles afin de prendre les mesures correctives nécessaires</w:t>
      </w:r>
    </w:p>
    <w:p w14:paraId="58C80BE7" w14:textId="77777777" w:rsidR="004C45A8" w:rsidRPr="00E4185E" w:rsidRDefault="004C45A8" w:rsidP="004C45A8">
      <w:pPr>
        <w:pStyle w:val="Paragraphedeliste"/>
        <w:numPr>
          <w:ilvl w:val="0"/>
          <w:numId w:val="2"/>
        </w:numPr>
        <w:autoSpaceDE w:val="0"/>
        <w:autoSpaceDN w:val="0"/>
        <w:adjustRightInd w:val="0"/>
        <w:rPr>
          <w:rFonts w:cs="Cambria"/>
          <w:bCs/>
          <w:sz w:val="28"/>
          <w:szCs w:val="28"/>
        </w:rPr>
      </w:pPr>
      <w:r w:rsidRPr="00E4185E">
        <w:rPr>
          <w:rFonts w:cs="Cambria"/>
          <w:bCs/>
          <w:sz w:val="28"/>
          <w:szCs w:val="28"/>
        </w:rPr>
        <w:t>Communiquer les performances</w:t>
      </w:r>
    </w:p>
    <w:p w14:paraId="0D7D75DC" w14:textId="77777777" w:rsidR="004C45A8" w:rsidRPr="00E4185E" w:rsidRDefault="004C45A8" w:rsidP="004C45A8">
      <w:pPr>
        <w:pStyle w:val="Paragraphedeliste"/>
        <w:numPr>
          <w:ilvl w:val="0"/>
          <w:numId w:val="2"/>
        </w:numPr>
        <w:autoSpaceDE w:val="0"/>
        <w:autoSpaceDN w:val="0"/>
        <w:adjustRightInd w:val="0"/>
        <w:rPr>
          <w:rFonts w:cs="Cambria"/>
          <w:bCs/>
          <w:sz w:val="28"/>
          <w:szCs w:val="28"/>
        </w:rPr>
      </w:pPr>
      <w:r w:rsidRPr="00E4185E">
        <w:rPr>
          <w:rFonts w:cs="Cambria"/>
          <w:bCs/>
          <w:sz w:val="28"/>
          <w:szCs w:val="28"/>
        </w:rPr>
        <w:t>Motiver les services et assurer un suivi de changement</w:t>
      </w:r>
    </w:p>
    <w:p w14:paraId="211F43B4" w14:textId="77777777" w:rsidR="004C45A8" w:rsidRPr="00E4185E" w:rsidRDefault="004C45A8" w:rsidP="004C45A8">
      <w:pPr>
        <w:pStyle w:val="Paragraphedeliste"/>
        <w:numPr>
          <w:ilvl w:val="0"/>
          <w:numId w:val="2"/>
        </w:numPr>
        <w:autoSpaceDE w:val="0"/>
        <w:autoSpaceDN w:val="0"/>
        <w:adjustRightInd w:val="0"/>
        <w:rPr>
          <w:rFonts w:cs="Cambria"/>
          <w:bCs/>
          <w:sz w:val="28"/>
          <w:szCs w:val="28"/>
        </w:rPr>
      </w:pPr>
      <w:r w:rsidRPr="00E4185E">
        <w:rPr>
          <w:rFonts w:cs="Cambria"/>
          <w:bCs/>
          <w:sz w:val="28"/>
          <w:szCs w:val="28"/>
        </w:rPr>
        <w:t>Constituer un outil pédagogique permettant de sensibiliser en permanence les responsables aux facteurs clés de l’organisation de service</w:t>
      </w:r>
    </w:p>
    <w:p w14:paraId="47750E82" w14:textId="77777777" w:rsidR="004C45A8" w:rsidRDefault="004C45A8" w:rsidP="004C45A8">
      <w:pPr>
        <w:autoSpaceDE w:val="0"/>
        <w:autoSpaceDN w:val="0"/>
        <w:adjustRightInd w:val="0"/>
        <w:rPr>
          <w:rFonts w:cs="Cambria"/>
          <w:bCs/>
          <w:sz w:val="28"/>
          <w:szCs w:val="28"/>
        </w:rPr>
      </w:pPr>
      <w:r>
        <w:rPr>
          <w:rFonts w:cs="Cambria"/>
          <w:bCs/>
          <w:sz w:val="28"/>
          <w:szCs w:val="28"/>
        </w:rPr>
        <w:t>Ainsi, les tableaux de bord doivent permettre de concilier les différents enjeux de la gestion du management : analyser, agir, anticiper, et être à la fois synthétique pour traiter l’ensemble clés de gestion.</w:t>
      </w:r>
    </w:p>
    <w:p w14:paraId="70BA5AF4" w14:textId="77777777" w:rsidR="00B05534" w:rsidRDefault="00B05534" w:rsidP="00B05534">
      <w:pPr>
        <w:autoSpaceDE w:val="0"/>
        <w:autoSpaceDN w:val="0"/>
        <w:adjustRightInd w:val="0"/>
        <w:rPr>
          <w:rFonts w:cs="Cambria"/>
          <w:b/>
          <w:bCs/>
          <w:sz w:val="32"/>
          <w:szCs w:val="32"/>
          <w:u w:val="single"/>
        </w:rPr>
      </w:pPr>
      <w:r>
        <w:rPr>
          <w:rFonts w:cs="Cambria"/>
          <w:b/>
          <w:bCs/>
          <w:sz w:val="32"/>
          <w:szCs w:val="32"/>
        </w:rPr>
        <w:lastRenderedPageBreak/>
        <w:t>3</w:t>
      </w:r>
      <w:r w:rsidRPr="00D947F9">
        <w:rPr>
          <w:rFonts w:cs="Cambria"/>
          <w:b/>
          <w:bCs/>
          <w:sz w:val="32"/>
          <w:szCs w:val="32"/>
        </w:rPr>
        <w:t xml:space="preserve">) </w:t>
      </w:r>
      <w:r>
        <w:rPr>
          <w:rFonts w:cs="Cambria"/>
          <w:b/>
          <w:bCs/>
          <w:sz w:val="32"/>
          <w:szCs w:val="32"/>
          <w:u w:val="single"/>
        </w:rPr>
        <w:t>METHODOLOGIE</w:t>
      </w:r>
    </w:p>
    <w:p w14:paraId="384038A7" w14:textId="77777777" w:rsidR="00B05534" w:rsidRDefault="00B05534" w:rsidP="00B05534">
      <w:pPr>
        <w:autoSpaceDE w:val="0"/>
        <w:autoSpaceDN w:val="0"/>
        <w:adjustRightInd w:val="0"/>
        <w:rPr>
          <w:rFonts w:cs="Cambria"/>
          <w:b/>
          <w:bCs/>
          <w:sz w:val="32"/>
          <w:szCs w:val="32"/>
          <w:u w:val="single"/>
        </w:rPr>
      </w:pPr>
    </w:p>
    <w:p w14:paraId="12CA3BCF" w14:textId="77777777" w:rsidR="00B05534" w:rsidRDefault="00B05534" w:rsidP="00B05534">
      <w:pPr>
        <w:autoSpaceDE w:val="0"/>
        <w:autoSpaceDN w:val="0"/>
        <w:adjustRightInd w:val="0"/>
        <w:jc w:val="both"/>
        <w:rPr>
          <w:rFonts w:cs="Cambria"/>
          <w:bCs/>
          <w:sz w:val="28"/>
          <w:szCs w:val="28"/>
        </w:rPr>
      </w:pPr>
      <w:r w:rsidRPr="00630201">
        <w:rPr>
          <w:rFonts w:cs="Cambria"/>
          <w:bCs/>
          <w:sz w:val="28"/>
          <w:szCs w:val="28"/>
        </w:rPr>
        <w:t>Le tableau de bord doit être établi à une fréquence suffisante</w:t>
      </w:r>
      <w:r>
        <w:rPr>
          <w:rFonts w:cs="Cambria"/>
          <w:bCs/>
          <w:sz w:val="28"/>
          <w:szCs w:val="28"/>
        </w:rPr>
        <w:t xml:space="preserve"> pour permettre au responsable de réagir à temps. La fréquence ne doit être trop élevée : il faut prendre en compte le temps de réaction de l’unité pour mesurer l’impact des décisions. L’impact d’une décision promotionnelle sur un rayon est assez rapide, il n’en est pas de même d’une action en lien avec le management des personnes (formation, coaching, style de management…)</w:t>
      </w:r>
    </w:p>
    <w:p w14:paraId="73651F35" w14:textId="77777777" w:rsidR="00B05534" w:rsidRDefault="00B05534" w:rsidP="00B05534">
      <w:pPr>
        <w:autoSpaceDE w:val="0"/>
        <w:autoSpaceDN w:val="0"/>
        <w:adjustRightInd w:val="0"/>
        <w:rPr>
          <w:rFonts w:cs="Cambria"/>
          <w:bCs/>
          <w:sz w:val="28"/>
          <w:szCs w:val="28"/>
        </w:rPr>
      </w:pPr>
    </w:p>
    <w:p w14:paraId="096B1823" w14:textId="77777777" w:rsidR="00B05534" w:rsidRDefault="00B05534" w:rsidP="00B05534">
      <w:pPr>
        <w:autoSpaceDE w:val="0"/>
        <w:autoSpaceDN w:val="0"/>
        <w:adjustRightInd w:val="0"/>
        <w:rPr>
          <w:rFonts w:cs="Cambria"/>
          <w:bCs/>
          <w:sz w:val="28"/>
          <w:szCs w:val="28"/>
        </w:rPr>
      </w:pPr>
    </w:p>
    <w:p w14:paraId="6C89AF22" w14:textId="77777777" w:rsidR="00B05534" w:rsidRDefault="00B05534" w:rsidP="00B05534">
      <w:pPr>
        <w:autoSpaceDE w:val="0"/>
        <w:autoSpaceDN w:val="0"/>
        <w:adjustRightInd w:val="0"/>
        <w:rPr>
          <w:rFonts w:cs="Cambria"/>
          <w:bCs/>
          <w:sz w:val="28"/>
          <w:szCs w:val="28"/>
        </w:rPr>
      </w:pPr>
      <w:r>
        <w:rPr>
          <w:rFonts w:cs="Cambria"/>
          <w:bCs/>
          <w:sz w:val="28"/>
          <w:szCs w:val="28"/>
        </w:rPr>
        <w:t>Les informations contenues dans chaque tableau concernent le champ d’application du responsable concerné.</w:t>
      </w:r>
    </w:p>
    <w:p w14:paraId="7910A2EF" w14:textId="77777777" w:rsidR="00B05534" w:rsidRDefault="00B05534" w:rsidP="00B05534">
      <w:pPr>
        <w:autoSpaceDE w:val="0"/>
        <w:autoSpaceDN w:val="0"/>
        <w:adjustRightInd w:val="0"/>
        <w:rPr>
          <w:rFonts w:cs="Cambria"/>
          <w:bCs/>
          <w:sz w:val="28"/>
          <w:szCs w:val="28"/>
        </w:rPr>
      </w:pPr>
      <w:r>
        <w:rPr>
          <w:rFonts w:cs="Cambria"/>
          <w:bCs/>
          <w:sz w:val="28"/>
          <w:szCs w:val="28"/>
        </w:rPr>
        <w:t xml:space="preserve">Par ailleurs, le tableau de bord d’un niveau hiérarchique inclut une synthèse de tableaux de bord de niveau hiérarchique inférieur selon la méthode du </w:t>
      </w:r>
      <w:proofErr w:type="spellStart"/>
      <w:r>
        <w:rPr>
          <w:rFonts w:cs="Cambria"/>
          <w:bCs/>
          <w:sz w:val="28"/>
          <w:szCs w:val="28"/>
        </w:rPr>
        <w:t>reporting</w:t>
      </w:r>
      <w:proofErr w:type="spellEnd"/>
      <w:r>
        <w:rPr>
          <w:rFonts w:cs="Cambria"/>
          <w:bCs/>
          <w:sz w:val="28"/>
          <w:szCs w:val="28"/>
        </w:rPr>
        <w:t> :</w:t>
      </w:r>
    </w:p>
    <w:p w14:paraId="0E47A722" w14:textId="77777777" w:rsidR="00B05534" w:rsidRDefault="00B05534" w:rsidP="00B05534">
      <w:pPr>
        <w:autoSpaceDE w:val="0"/>
        <w:autoSpaceDN w:val="0"/>
        <w:adjustRightInd w:val="0"/>
        <w:rPr>
          <w:rFonts w:cs="Cambria"/>
          <w:bCs/>
          <w:sz w:val="28"/>
          <w:szCs w:val="28"/>
        </w:rPr>
      </w:pPr>
    </w:p>
    <w:p w14:paraId="6DE38403" w14:textId="77777777" w:rsidR="00B05534" w:rsidRDefault="00B05534" w:rsidP="00B05534">
      <w:pPr>
        <w:autoSpaceDE w:val="0"/>
        <w:autoSpaceDN w:val="0"/>
        <w:adjustRightInd w:val="0"/>
        <w:rPr>
          <w:rFonts w:cs="Cambria"/>
          <w:b/>
          <w:bCs/>
          <w:sz w:val="28"/>
          <w:szCs w:val="28"/>
        </w:rPr>
      </w:pPr>
    </w:p>
    <w:p w14:paraId="4C4C5DED" w14:textId="77777777" w:rsidR="00B05534" w:rsidRPr="009A786F" w:rsidRDefault="00B05534" w:rsidP="00B05534">
      <w:pPr>
        <w:autoSpaceDE w:val="0"/>
        <w:autoSpaceDN w:val="0"/>
        <w:adjustRightInd w:val="0"/>
        <w:rPr>
          <w:rFonts w:cs="Cambria"/>
          <w:b/>
          <w:bCs/>
          <w:sz w:val="36"/>
          <w:szCs w:val="36"/>
          <w:u w:val="single"/>
        </w:rPr>
      </w:pPr>
      <w:r w:rsidRPr="009A786F">
        <w:rPr>
          <w:rFonts w:cs="Cambria"/>
          <w:b/>
          <w:bCs/>
          <w:sz w:val="36"/>
          <w:szCs w:val="36"/>
        </w:rPr>
        <w:t xml:space="preserve">B) </w:t>
      </w:r>
      <w:r w:rsidRPr="009A786F">
        <w:rPr>
          <w:rFonts w:cs="Cambria"/>
          <w:b/>
          <w:bCs/>
          <w:sz w:val="36"/>
          <w:szCs w:val="36"/>
          <w:u w:val="single"/>
        </w:rPr>
        <w:t>LES INDICATEURS DU TABLEAU DE BORD</w:t>
      </w:r>
    </w:p>
    <w:p w14:paraId="28BC2A3C" w14:textId="77777777" w:rsidR="00B05534" w:rsidRPr="009A786F" w:rsidRDefault="00B05534" w:rsidP="00B05534">
      <w:pPr>
        <w:autoSpaceDE w:val="0"/>
        <w:autoSpaceDN w:val="0"/>
        <w:adjustRightInd w:val="0"/>
        <w:rPr>
          <w:rFonts w:cs="Cambria"/>
          <w:b/>
          <w:bCs/>
          <w:sz w:val="36"/>
          <w:szCs w:val="36"/>
          <w:u w:val="single"/>
        </w:rPr>
      </w:pPr>
    </w:p>
    <w:p w14:paraId="55AD112B" w14:textId="77777777" w:rsidR="00B05534" w:rsidRPr="007F22D4" w:rsidRDefault="00B05534" w:rsidP="00B05534">
      <w:pPr>
        <w:autoSpaceDE w:val="0"/>
        <w:autoSpaceDN w:val="0"/>
        <w:adjustRightInd w:val="0"/>
        <w:rPr>
          <w:rFonts w:cs="Cambria"/>
          <w:b/>
          <w:bCs/>
          <w:sz w:val="32"/>
          <w:szCs w:val="32"/>
          <w:u w:val="single"/>
        </w:rPr>
      </w:pPr>
      <w:r w:rsidRPr="007F22D4">
        <w:rPr>
          <w:rFonts w:cs="Cambria"/>
          <w:b/>
          <w:bCs/>
          <w:sz w:val="28"/>
          <w:szCs w:val="28"/>
        </w:rPr>
        <w:t>1)</w:t>
      </w:r>
      <w:r>
        <w:rPr>
          <w:rFonts w:cs="Cambria"/>
          <w:bCs/>
          <w:sz w:val="28"/>
          <w:szCs w:val="28"/>
        </w:rPr>
        <w:t xml:space="preserve">  </w:t>
      </w:r>
      <w:r w:rsidRPr="007F22D4">
        <w:rPr>
          <w:rFonts w:cs="Cambria"/>
          <w:b/>
          <w:bCs/>
          <w:sz w:val="32"/>
          <w:szCs w:val="32"/>
          <w:u w:val="single"/>
        </w:rPr>
        <w:t>Pilotage et tableaux de bord</w:t>
      </w:r>
    </w:p>
    <w:p w14:paraId="6B788280" w14:textId="77777777" w:rsidR="00B05534" w:rsidRPr="007F22D4" w:rsidRDefault="00B05534" w:rsidP="00B05534">
      <w:pPr>
        <w:autoSpaceDE w:val="0"/>
        <w:autoSpaceDN w:val="0"/>
        <w:adjustRightInd w:val="0"/>
        <w:rPr>
          <w:rFonts w:cs="Cambria"/>
          <w:bCs/>
          <w:sz w:val="28"/>
          <w:szCs w:val="28"/>
        </w:rPr>
      </w:pPr>
    </w:p>
    <w:p w14:paraId="09334737" w14:textId="77777777" w:rsidR="00B05534" w:rsidRPr="007F22D4" w:rsidRDefault="00B05534" w:rsidP="00B05534">
      <w:pPr>
        <w:autoSpaceDE w:val="0"/>
        <w:autoSpaceDN w:val="0"/>
        <w:adjustRightInd w:val="0"/>
        <w:rPr>
          <w:rFonts w:cs="Cambria"/>
          <w:b/>
          <w:bCs/>
          <w:sz w:val="28"/>
          <w:szCs w:val="28"/>
          <w:u w:val="single"/>
        </w:rPr>
      </w:pPr>
      <w:r w:rsidRPr="007F22D4">
        <w:rPr>
          <w:rFonts w:cs="Cambria"/>
          <w:b/>
          <w:bCs/>
          <w:sz w:val="28"/>
          <w:szCs w:val="28"/>
          <w:u w:val="single"/>
        </w:rPr>
        <w:t>a)</w:t>
      </w:r>
      <w:r>
        <w:rPr>
          <w:rFonts w:cs="Cambria"/>
          <w:b/>
          <w:bCs/>
          <w:sz w:val="28"/>
          <w:szCs w:val="28"/>
          <w:u w:val="single"/>
        </w:rPr>
        <w:t xml:space="preserve"> </w:t>
      </w:r>
      <w:r w:rsidRPr="007F22D4">
        <w:rPr>
          <w:rFonts w:cs="Cambria"/>
          <w:b/>
          <w:bCs/>
          <w:sz w:val="28"/>
          <w:szCs w:val="28"/>
          <w:u w:val="single"/>
        </w:rPr>
        <w:t>Définitions</w:t>
      </w:r>
    </w:p>
    <w:p w14:paraId="0F3FACE0" w14:textId="77777777" w:rsidR="00B05534" w:rsidRPr="007F22D4" w:rsidRDefault="00B05534" w:rsidP="00B05534"/>
    <w:p w14:paraId="18D7C114" w14:textId="77777777" w:rsidR="00B05534" w:rsidRDefault="00B05534" w:rsidP="00B05534">
      <w:pPr>
        <w:autoSpaceDE w:val="0"/>
        <w:autoSpaceDN w:val="0"/>
        <w:adjustRightInd w:val="0"/>
        <w:rPr>
          <w:rFonts w:cs="Cambria"/>
          <w:bCs/>
          <w:sz w:val="28"/>
          <w:szCs w:val="28"/>
        </w:rPr>
      </w:pPr>
      <w:r>
        <w:rPr>
          <w:rFonts w:cs="Cambria"/>
          <w:bCs/>
          <w:sz w:val="28"/>
          <w:szCs w:val="28"/>
        </w:rPr>
        <w:t>Le pilotage de l’unité commerciale consiste à évaluer sa performance par rapport aux objectifs fixés et à jouer sur des leviers d’action de manière à corriger la trajectoire si elle s’écarte de ce qui a été prévu.</w:t>
      </w:r>
    </w:p>
    <w:p w14:paraId="2816DC7B" w14:textId="77777777" w:rsidR="00B05534" w:rsidRDefault="00B05534" w:rsidP="00B05534">
      <w:pPr>
        <w:autoSpaceDE w:val="0"/>
        <w:autoSpaceDN w:val="0"/>
        <w:adjustRightInd w:val="0"/>
        <w:rPr>
          <w:rFonts w:cs="Cambria"/>
          <w:bCs/>
          <w:sz w:val="28"/>
          <w:szCs w:val="28"/>
        </w:rPr>
      </w:pPr>
    </w:p>
    <w:p w14:paraId="101527B7" w14:textId="77777777" w:rsidR="00B05534" w:rsidRDefault="00B05534" w:rsidP="00B05534">
      <w:pPr>
        <w:autoSpaceDE w:val="0"/>
        <w:autoSpaceDN w:val="0"/>
        <w:adjustRightInd w:val="0"/>
        <w:rPr>
          <w:rFonts w:cs="Cambria"/>
          <w:b/>
          <w:bCs/>
          <w:sz w:val="28"/>
          <w:szCs w:val="28"/>
        </w:rPr>
      </w:pPr>
      <w:r>
        <w:rPr>
          <w:rFonts w:cs="Cambria"/>
          <w:bCs/>
          <w:sz w:val="28"/>
          <w:szCs w:val="28"/>
        </w:rPr>
        <w:t xml:space="preserve">Pour évaluer la performance, on utilise des </w:t>
      </w:r>
      <w:r w:rsidRPr="007F22D4">
        <w:rPr>
          <w:rFonts w:cs="Cambria"/>
          <w:b/>
          <w:bCs/>
          <w:sz w:val="28"/>
          <w:szCs w:val="28"/>
        </w:rPr>
        <w:t xml:space="preserve">indicateurs </w:t>
      </w:r>
      <w:r>
        <w:rPr>
          <w:rFonts w:cs="Cambria"/>
          <w:b/>
          <w:bCs/>
          <w:sz w:val="28"/>
          <w:szCs w:val="28"/>
        </w:rPr>
        <w:t>qui peuvent être :</w:t>
      </w:r>
    </w:p>
    <w:p w14:paraId="16A14078" w14:textId="77777777" w:rsidR="00B05534" w:rsidRDefault="00B05534" w:rsidP="00B05534">
      <w:pPr>
        <w:autoSpaceDE w:val="0"/>
        <w:autoSpaceDN w:val="0"/>
        <w:adjustRightInd w:val="0"/>
        <w:rPr>
          <w:rFonts w:cs="Cambria"/>
          <w:b/>
          <w:bCs/>
          <w:sz w:val="28"/>
          <w:szCs w:val="28"/>
        </w:rPr>
      </w:pPr>
    </w:p>
    <w:p w14:paraId="4332FCC8" w14:textId="77777777" w:rsidR="00B05534" w:rsidRPr="00FB1599" w:rsidRDefault="00B05534" w:rsidP="00B05534">
      <w:pPr>
        <w:pStyle w:val="Paragraphedeliste"/>
        <w:numPr>
          <w:ilvl w:val="0"/>
          <w:numId w:val="4"/>
        </w:numPr>
        <w:autoSpaceDE w:val="0"/>
        <w:autoSpaceDN w:val="0"/>
        <w:adjustRightInd w:val="0"/>
        <w:rPr>
          <w:rFonts w:cs="Cambria"/>
          <w:bCs/>
          <w:sz w:val="28"/>
          <w:szCs w:val="28"/>
        </w:rPr>
      </w:pPr>
      <w:r w:rsidRPr="00FB1599">
        <w:rPr>
          <w:rFonts w:cs="Cambria"/>
          <w:bCs/>
          <w:sz w:val="28"/>
          <w:szCs w:val="28"/>
        </w:rPr>
        <w:t>Les axes clé de management de l’UM, (coûts, rentabilité, facteurs humains ou financiers)</w:t>
      </w:r>
    </w:p>
    <w:p w14:paraId="16185F8C" w14:textId="77777777" w:rsidR="00B05534" w:rsidRDefault="00B05534" w:rsidP="00B05534">
      <w:pPr>
        <w:autoSpaceDE w:val="0"/>
        <w:autoSpaceDN w:val="0"/>
        <w:adjustRightInd w:val="0"/>
        <w:rPr>
          <w:rFonts w:cs="Cambria"/>
          <w:bCs/>
          <w:sz w:val="28"/>
          <w:szCs w:val="28"/>
        </w:rPr>
      </w:pPr>
    </w:p>
    <w:p w14:paraId="40163E00" w14:textId="77777777" w:rsidR="00B05534" w:rsidRPr="00FB1599" w:rsidRDefault="00B05534" w:rsidP="00B05534">
      <w:pPr>
        <w:pStyle w:val="Paragraphedeliste"/>
        <w:numPr>
          <w:ilvl w:val="0"/>
          <w:numId w:val="4"/>
        </w:numPr>
        <w:autoSpaceDE w:val="0"/>
        <w:autoSpaceDN w:val="0"/>
        <w:adjustRightInd w:val="0"/>
        <w:rPr>
          <w:rFonts w:cs="Cambria"/>
          <w:bCs/>
          <w:sz w:val="28"/>
          <w:szCs w:val="28"/>
        </w:rPr>
      </w:pPr>
      <w:r w:rsidRPr="00FB1599">
        <w:rPr>
          <w:rFonts w:cs="Cambria"/>
          <w:bCs/>
          <w:sz w:val="28"/>
          <w:szCs w:val="28"/>
        </w:rPr>
        <w:t>Les indicateurs globaux de l’unité gestion dont le manager doit suivre la performance (par exemple : les rayons).</w:t>
      </w:r>
    </w:p>
    <w:p w14:paraId="30554C0F" w14:textId="77777777" w:rsidR="00B05534" w:rsidRDefault="00B05534" w:rsidP="00B05534">
      <w:pPr>
        <w:autoSpaceDE w:val="0"/>
        <w:autoSpaceDN w:val="0"/>
        <w:adjustRightInd w:val="0"/>
        <w:rPr>
          <w:rFonts w:cs="Cambria"/>
          <w:bCs/>
          <w:sz w:val="28"/>
          <w:szCs w:val="28"/>
        </w:rPr>
      </w:pPr>
    </w:p>
    <w:p w14:paraId="5353AEEB" w14:textId="77777777" w:rsidR="00B05534" w:rsidRDefault="00B05534" w:rsidP="00B05534">
      <w:pPr>
        <w:autoSpaceDE w:val="0"/>
        <w:autoSpaceDN w:val="0"/>
        <w:adjustRightInd w:val="0"/>
        <w:rPr>
          <w:rFonts w:cs="Cambria"/>
          <w:bCs/>
          <w:sz w:val="28"/>
          <w:szCs w:val="28"/>
        </w:rPr>
      </w:pPr>
    </w:p>
    <w:p w14:paraId="4C6A548C" w14:textId="77777777" w:rsidR="00B05534" w:rsidRDefault="00B05534" w:rsidP="00B05534">
      <w:pPr>
        <w:autoSpaceDE w:val="0"/>
        <w:autoSpaceDN w:val="0"/>
        <w:adjustRightInd w:val="0"/>
        <w:rPr>
          <w:rFonts w:cs="Cambria"/>
          <w:bCs/>
          <w:sz w:val="28"/>
          <w:szCs w:val="28"/>
        </w:rPr>
      </w:pPr>
      <w:r>
        <w:rPr>
          <w:rFonts w:cs="Cambria"/>
          <w:bCs/>
          <w:sz w:val="28"/>
          <w:szCs w:val="28"/>
        </w:rPr>
        <w:t>Ces 2 approches peuvent être totalement combinées.</w:t>
      </w:r>
    </w:p>
    <w:p w14:paraId="263A5D45" w14:textId="77777777" w:rsidR="00B05534" w:rsidRDefault="00B05534" w:rsidP="00B05534">
      <w:pPr>
        <w:autoSpaceDE w:val="0"/>
        <w:autoSpaceDN w:val="0"/>
        <w:adjustRightInd w:val="0"/>
        <w:rPr>
          <w:rFonts w:cs="Cambria"/>
          <w:bCs/>
          <w:sz w:val="28"/>
          <w:szCs w:val="28"/>
        </w:rPr>
      </w:pPr>
    </w:p>
    <w:p w14:paraId="2818F4D0" w14:textId="77777777" w:rsidR="00B05534" w:rsidRDefault="00B05534" w:rsidP="00B05534">
      <w:pPr>
        <w:autoSpaceDE w:val="0"/>
        <w:autoSpaceDN w:val="0"/>
        <w:adjustRightInd w:val="0"/>
        <w:rPr>
          <w:rFonts w:cs="Cambria"/>
          <w:bCs/>
          <w:sz w:val="28"/>
          <w:szCs w:val="28"/>
        </w:rPr>
      </w:pPr>
    </w:p>
    <w:p w14:paraId="607493BF" w14:textId="77777777" w:rsidR="00B05534" w:rsidRDefault="00B05534" w:rsidP="00B05534">
      <w:pPr>
        <w:autoSpaceDE w:val="0"/>
        <w:autoSpaceDN w:val="0"/>
        <w:adjustRightInd w:val="0"/>
        <w:rPr>
          <w:rFonts w:cs="Cambria"/>
          <w:bCs/>
          <w:sz w:val="28"/>
          <w:szCs w:val="28"/>
        </w:rPr>
      </w:pPr>
      <w:r w:rsidRPr="00BB2097">
        <w:rPr>
          <w:rFonts w:cs="Cambria"/>
          <w:b/>
          <w:bCs/>
          <w:sz w:val="28"/>
          <w:szCs w:val="28"/>
          <w:u w:val="single"/>
        </w:rPr>
        <w:t xml:space="preserve">Le tableau de bord </w:t>
      </w:r>
      <w:r>
        <w:rPr>
          <w:rFonts w:cs="Cambria"/>
          <w:bCs/>
          <w:sz w:val="28"/>
          <w:szCs w:val="28"/>
        </w:rPr>
        <w:t>présente une sélection d’indicateurs utiles à un manageur pour évaluer la progression de son unité et pour lesquels un objectif a été fixé.</w:t>
      </w:r>
    </w:p>
    <w:p w14:paraId="7354EB76" w14:textId="77777777" w:rsidR="00B05534" w:rsidRDefault="00B05534" w:rsidP="00B05534">
      <w:pPr>
        <w:autoSpaceDE w:val="0"/>
        <w:autoSpaceDN w:val="0"/>
        <w:adjustRightInd w:val="0"/>
        <w:rPr>
          <w:rFonts w:cs="Cambria"/>
          <w:bCs/>
          <w:sz w:val="28"/>
          <w:szCs w:val="28"/>
        </w:rPr>
      </w:pPr>
    </w:p>
    <w:p w14:paraId="1BDA0F59" w14:textId="77777777" w:rsidR="00B05534" w:rsidRDefault="00B05534" w:rsidP="00B05534">
      <w:pPr>
        <w:autoSpaceDE w:val="0"/>
        <w:autoSpaceDN w:val="0"/>
        <w:adjustRightInd w:val="0"/>
        <w:rPr>
          <w:rFonts w:cs="Cambria"/>
          <w:bCs/>
          <w:sz w:val="28"/>
          <w:szCs w:val="28"/>
        </w:rPr>
      </w:pPr>
      <w:r w:rsidRPr="00BB2097">
        <w:rPr>
          <w:rFonts w:cs="Cambria"/>
          <w:b/>
          <w:bCs/>
          <w:sz w:val="28"/>
          <w:szCs w:val="28"/>
          <w:u w:val="single"/>
        </w:rPr>
        <w:t>Le</w:t>
      </w:r>
      <w:r>
        <w:rPr>
          <w:rFonts w:cs="Cambria"/>
          <w:b/>
          <w:bCs/>
          <w:sz w:val="28"/>
          <w:szCs w:val="28"/>
          <w:u w:val="single"/>
        </w:rPr>
        <w:t>s leviers d’action</w:t>
      </w:r>
      <w:r w:rsidRPr="00BB2097">
        <w:rPr>
          <w:rFonts w:cs="Cambria"/>
          <w:b/>
          <w:bCs/>
          <w:sz w:val="28"/>
          <w:szCs w:val="28"/>
          <w:u w:val="single"/>
        </w:rPr>
        <w:t xml:space="preserve"> </w:t>
      </w:r>
      <w:r>
        <w:rPr>
          <w:rFonts w:cs="Cambria"/>
          <w:bCs/>
          <w:sz w:val="28"/>
          <w:szCs w:val="28"/>
        </w:rPr>
        <w:t>peuvent être : animation commerciale, action promotionnelle, réimplantation de rayons, décoration du magasin fixation du prix, etc…)</w:t>
      </w:r>
    </w:p>
    <w:tbl>
      <w:tblPr>
        <w:tblStyle w:val="Grilledutableau"/>
        <w:tblW w:w="10245" w:type="dxa"/>
        <w:tblLayout w:type="fixed"/>
        <w:tblLook w:val="04A0" w:firstRow="1" w:lastRow="0" w:firstColumn="1" w:lastColumn="0" w:noHBand="0" w:noVBand="1"/>
      </w:tblPr>
      <w:tblGrid>
        <w:gridCol w:w="2268"/>
        <w:gridCol w:w="2236"/>
        <w:gridCol w:w="2550"/>
        <w:gridCol w:w="3191"/>
      </w:tblGrid>
      <w:tr w:rsidR="00B05534" w14:paraId="3996A514" w14:textId="77777777" w:rsidTr="00EE5AFD">
        <w:tc>
          <w:tcPr>
            <w:tcW w:w="2268" w:type="dxa"/>
            <w:shd w:val="clear" w:color="auto" w:fill="FFFF00"/>
          </w:tcPr>
          <w:p w14:paraId="178B7804" w14:textId="77777777" w:rsidR="00B05534" w:rsidRDefault="00B05534" w:rsidP="00DD1A42">
            <w:pPr>
              <w:autoSpaceDE w:val="0"/>
              <w:autoSpaceDN w:val="0"/>
              <w:adjustRightInd w:val="0"/>
              <w:rPr>
                <w:rFonts w:cs="Cambria"/>
                <w:bCs/>
                <w:sz w:val="28"/>
                <w:szCs w:val="28"/>
              </w:rPr>
            </w:pPr>
          </w:p>
        </w:tc>
        <w:tc>
          <w:tcPr>
            <w:tcW w:w="2236" w:type="dxa"/>
            <w:shd w:val="clear" w:color="auto" w:fill="FFFF00"/>
          </w:tcPr>
          <w:p w14:paraId="5C87EB26" w14:textId="77777777" w:rsidR="00B05534" w:rsidRPr="00BB2097" w:rsidRDefault="00B05534" w:rsidP="00DD1A42">
            <w:pPr>
              <w:autoSpaceDE w:val="0"/>
              <w:autoSpaceDN w:val="0"/>
              <w:adjustRightInd w:val="0"/>
              <w:jc w:val="center"/>
              <w:rPr>
                <w:rFonts w:cs="Cambria"/>
                <w:b/>
                <w:bCs/>
                <w:sz w:val="28"/>
                <w:szCs w:val="28"/>
              </w:rPr>
            </w:pPr>
            <w:r w:rsidRPr="00BB2097">
              <w:rPr>
                <w:rFonts w:cs="Cambria"/>
                <w:b/>
                <w:bCs/>
                <w:sz w:val="28"/>
                <w:szCs w:val="28"/>
              </w:rPr>
              <w:t>Objectif</w:t>
            </w:r>
          </w:p>
        </w:tc>
        <w:tc>
          <w:tcPr>
            <w:tcW w:w="2550" w:type="dxa"/>
            <w:shd w:val="clear" w:color="auto" w:fill="FFFF00"/>
          </w:tcPr>
          <w:p w14:paraId="6554E566" w14:textId="77777777" w:rsidR="00B05534" w:rsidRPr="00BB2097" w:rsidRDefault="00B05534" w:rsidP="00DD1A42">
            <w:pPr>
              <w:autoSpaceDE w:val="0"/>
              <w:autoSpaceDN w:val="0"/>
              <w:adjustRightInd w:val="0"/>
              <w:jc w:val="center"/>
              <w:rPr>
                <w:rFonts w:cs="Cambria"/>
                <w:b/>
                <w:bCs/>
                <w:sz w:val="28"/>
                <w:szCs w:val="28"/>
              </w:rPr>
            </w:pPr>
            <w:r w:rsidRPr="00BB2097">
              <w:rPr>
                <w:rFonts w:cs="Cambria"/>
                <w:b/>
                <w:bCs/>
                <w:sz w:val="28"/>
                <w:szCs w:val="28"/>
              </w:rPr>
              <w:t>Réalisé</w:t>
            </w:r>
          </w:p>
        </w:tc>
        <w:tc>
          <w:tcPr>
            <w:tcW w:w="3191" w:type="dxa"/>
            <w:shd w:val="clear" w:color="auto" w:fill="FFFF00"/>
          </w:tcPr>
          <w:p w14:paraId="04F156AC" w14:textId="77777777" w:rsidR="00B05534" w:rsidRPr="00BB2097" w:rsidRDefault="00B05534" w:rsidP="00DD1A42">
            <w:pPr>
              <w:autoSpaceDE w:val="0"/>
              <w:autoSpaceDN w:val="0"/>
              <w:adjustRightInd w:val="0"/>
              <w:jc w:val="center"/>
              <w:rPr>
                <w:rFonts w:cs="Cambria"/>
                <w:b/>
                <w:bCs/>
                <w:sz w:val="28"/>
                <w:szCs w:val="28"/>
              </w:rPr>
            </w:pPr>
            <w:r w:rsidRPr="00BB2097">
              <w:rPr>
                <w:rFonts w:cs="Cambria"/>
                <w:b/>
                <w:bCs/>
                <w:sz w:val="28"/>
                <w:szCs w:val="28"/>
              </w:rPr>
              <w:t>Ecart</w:t>
            </w:r>
          </w:p>
        </w:tc>
      </w:tr>
      <w:tr w:rsidR="00B05534" w14:paraId="17870F54" w14:textId="77777777" w:rsidTr="00EE5AFD">
        <w:tc>
          <w:tcPr>
            <w:tcW w:w="2268" w:type="dxa"/>
          </w:tcPr>
          <w:p w14:paraId="6347CAA1" w14:textId="77777777" w:rsidR="00B05534" w:rsidRDefault="00B05534" w:rsidP="00DD1A42">
            <w:pPr>
              <w:autoSpaceDE w:val="0"/>
              <w:autoSpaceDN w:val="0"/>
              <w:adjustRightInd w:val="0"/>
              <w:rPr>
                <w:rFonts w:cs="Cambria"/>
                <w:bCs/>
                <w:sz w:val="28"/>
                <w:szCs w:val="28"/>
              </w:rPr>
            </w:pPr>
            <w:r>
              <w:rPr>
                <w:rFonts w:cs="Cambria"/>
                <w:bCs/>
                <w:sz w:val="28"/>
                <w:szCs w:val="28"/>
              </w:rPr>
              <w:t>Ressources humaines</w:t>
            </w:r>
          </w:p>
        </w:tc>
        <w:tc>
          <w:tcPr>
            <w:tcW w:w="2236" w:type="dxa"/>
          </w:tcPr>
          <w:p w14:paraId="54355E93" w14:textId="77777777" w:rsidR="00B05534" w:rsidRDefault="00B05534" w:rsidP="00DD1A42">
            <w:pPr>
              <w:autoSpaceDE w:val="0"/>
              <w:autoSpaceDN w:val="0"/>
              <w:adjustRightInd w:val="0"/>
              <w:rPr>
                <w:rFonts w:cs="Cambria"/>
                <w:bCs/>
                <w:sz w:val="28"/>
                <w:szCs w:val="28"/>
              </w:rPr>
            </w:pPr>
            <w:r>
              <w:rPr>
                <w:rFonts w:cs="Cambria"/>
                <w:bCs/>
                <w:sz w:val="28"/>
                <w:szCs w:val="28"/>
              </w:rPr>
              <w:t>Objectifs fixés pour la période considérée</w:t>
            </w:r>
          </w:p>
        </w:tc>
        <w:tc>
          <w:tcPr>
            <w:tcW w:w="2550" w:type="dxa"/>
          </w:tcPr>
          <w:p w14:paraId="1E7A104F" w14:textId="77777777" w:rsidR="00B05534" w:rsidRDefault="00B05534" w:rsidP="00DD1A42">
            <w:pPr>
              <w:autoSpaceDE w:val="0"/>
              <w:autoSpaceDN w:val="0"/>
              <w:adjustRightInd w:val="0"/>
              <w:rPr>
                <w:rFonts w:cs="Cambria"/>
                <w:bCs/>
                <w:sz w:val="28"/>
                <w:szCs w:val="28"/>
              </w:rPr>
            </w:pPr>
            <w:r>
              <w:rPr>
                <w:rFonts w:cs="Cambria"/>
                <w:bCs/>
                <w:sz w:val="28"/>
                <w:szCs w:val="28"/>
              </w:rPr>
              <w:t>Valeur de la période ou cumul depuis le début de l’année ou les 2</w:t>
            </w:r>
          </w:p>
        </w:tc>
        <w:tc>
          <w:tcPr>
            <w:tcW w:w="3191" w:type="dxa"/>
          </w:tcPr>
          <w:p w14:paraId="4BD0778C" w14:textId="77777777" w:rsidR="00B05534" w:rsidRDefault="00B05534" w:rsidP="00DD1A42">
            <w:pPr>
              <w:autoSpaceDE w:val="0"/>
              <w:autoSpaceDN w:val="0"/>
              <w:adjustRightInd w:val="0"/>
              <w:rPr>
                <w:rFonts w:cs="Cambria"/>
                <w:bCs/>
                <w:sz w:val="28"/>
                <w:szCs w:val="28"/>
              </w:rPr>
            </w:pPr>
            <w:r>
              <w:rPr>
                <w:rFonts w:cs="Cambria"/>
                <w:bCs/>
                <w:sz w:val="28"/>
                <w:szCs w:val="28"/>
              </w:rPr>
              <w:t>Les écart s’expriment en valeur absolue ou en pourcentage</w:t>
            </w:r>
          </w:p>
        </w:tc>
      </w:tr>
      <w:tr w:rsidR="00B05534" w14:paraId="0997A331" w14:textId="77777777" w:rsidTr="00EE5AFD">
        <w:tc>
          <w:tcPr>
            <w:tcW w:w="2268" w:type="dxa"/>
            <w:tcBorders>
              <w:bottom w:val="single" w:sz="4" w:space="0" w:color="000000" w:themeColor="text1"/>
            </w:tcBorders>
          </w:tcPr>
          <w:p w14:paraId="3363B859" w14:textId="77777777" w:rsidR="00B05534" w:rsidRDefault="00B05534" w:rsidP="00DD1A42">
            <w:pPr>
              <w:autoSpaceDE w:val="0"/>
              <w:autoSpaceDN w:val="0"/>
              <w:adjustRightInd w:val="0"/>
              <w:rPr>
                <w:rFonts w:cs="Cambria"/>
                <w:bCs/>
                <w:sz w:val="28"/>
                <w:szCs w:val="28"/>
              </w:rPr>
            </w:pPr>
            <w:r>
              <w:rPr>
                <w:rFonts w:cs="Cambria"/>
                <w:bCs/>
                <w:sz w:val="28"/>
                <w:szCs w:val="28"/>
              </w:rPr>
              <w:t>Commercial</w:t>
            </w:r>
          </w:p>
        </w:tc>
        <w:tc>
          <w:tcPr>
            <w:tcW w:w="2236" w:type="dxa"/>
            <w:tcBorders>
              <w:bottom w:val="single" w:sz="4" w:space="0" w:color="000000" w:themeColor="text1"/>
            </w:tcBorders>
          </w:tcPr>
          <w:p w14:paraId="13A3F5F7" w14:textId="77777777" w:rsidR="00B05534" w:rsidRDefault="00B05534" w:rsidP="00DD1A42">
            <w:pPr>
              <w:autoSpaceDE w:val="0"/>
              <w:autoSpaceDN w:val="0"/>
              <w:adjustRightInd w:val="0"/>
              <w:rPr>
                <w:rFonts w:cs="Cambria"/>
                <w:bCs/>
                <w:sz w:val="28"/>
                <w:szCs w:val="28"/>
              </w:rPr>
            </w:pPr>
          </w:p>
        </w:tc>
        <w:tc>
          <w:tcPr>
            <w:tcW w:w="2550" w:type="dxa"/>
            <w:tcBorders>
              <w:bottom w:val="single" w:sz="4" w:space="0" w:color="000000" w:themeColor="text1"/>
            </w:tcBorders>
          </w:tcPr>
          <w:p w14:paraId="141FD116" w14:textId="77777777" w:rsidR="00B05534" w:rsidRDefault="00B05534" w:rsidP="00DD1A42">
            <w:pPr>
              <w:autoSpaceDE w:val="0"/>
              <w:autoSpaceDN w:val="0"/>
              <w:adjustRightInd w:val="0"/>
              <w:rPr>
                <w:rFonts w:cs="Cambria"/>
                <w:bCs/>
                <w:sz w:val="28"/>
                <w:szCs w:val="28"/>
              </w:rPr>
            </w:pPr>
          </w:p>
        </w:tc>
        <w:tc>
          <w:tcPr>
            <w:tcW w:w="3191" w:type="dxa"/>
            <w:tcBorders>
              <w:bottom w:val="single" w:sz="4" w:space="0" w:color="000000" w:themeColor="text1"/>
            </w:tcBorders>
          </w:tcPr>
          <w:p w14:paraId="23A4EFFE" w14:textId="77777777" w:rsidR="00B05534" w:rsidRDefault="00B05534" w:rsidP="00DD1A42">
            <w:pPr>
              <w:autoSpaceDE w:val="0"/>
              <w:autoSpaceDN w:val="0"/>
              <w:adjustRightInd w:val="0"/>
              <w:rPr>
                <w:rFonts w:cs="Cambria"/>
                <w:bCs/>
                <w:sz w:val="28"/>
                <w:szCs w:val="28"/>
              </w:rPr>
            </w:pPr>
          </w:p>
        </w:tc>
      </w:tr>
      <w:tr w:rsidR="00B05534" w14:paraId="3A36FE3A" w14:textId="77777777" w:rsidTr="00EE5AFD">
        <w:tc>
          <w:tcPr>
            <w:tcW w:w="2268" w:type="dxa"/>
            <w:tcBorders>
              <w:bottom w:val="single" w:sz="4" w:space="0" w:color="000000" w:themeColor="text1"/>
            </w:tcBorders>
          </w:tcPr>
          <w:p w14:paraId="195C3FF5" w14:textId="77777777" w:rsidR="00B05534" w:rsidRDefault="00B05534" w:rsidP="00DD1A42">
            <w:pPr>
              <w:autoSpaceDE w:val="0"/>
              <w:autoSpaceDN w:val="0"/>
              <w:adjustRightInd w:val="0"/>
              <w:rPr>
                <w:rFonts w:cs="Cambria"/>
                <w:bCs/>
                <w:sz w:val="28"/>
                <w:szCs w:val="28"/>
              </w:rPr>
            </w:pPr>
            <w:r>
              <w:rPr>
                <w:rFonts w:cs="Cambria"/>
                <w:bCs/>
                <w:sz w:val="28"/>
                <w:szCs w:val="28"/>
              </w:rPr>
              <w:t xml:space="preserve">Financier </w:t>
            </w:r>
          </w:p>
        </w:tc>
        <w:tc>
          <w:tcPr>
            <w:tcW w:w="2236" w:type="dxa"/>
            <w:tcBorders>
              <w:bottom w:val="single" w:sz="4" w:space="0" w:color="000000" w:themeColor="text1"/>
            </w:tcBorders>
          </w:tcPr>
          <w:p w14:paraId="030E537A" w14:textId="77777777" w:rsidR="00B05534" w:rsidRDefault="00B05534" w:rsidP="00DD1A42">
            <w:pPr>
              <w:autoSpaceDE w:val="0"/>
              <w:autoSpaceDN w:val="0"/>
              <w:adjustRightInd w:val="0"/>
              <w:rPr>
                <w:rFonts w:cs="Cambria"/>
                <w:bCs/>
                <w:sz w:val="28"/>
                <w:szCs w:val="28"/>
              </w:rPr>
            </w:pPr>
          </w:p>
        </w:tc>
        <w:tc>
          <w:tcPr>
            <w:tcW w:w="2550" w:type="dxa"/>
            <w:tcBorders>
              <w:bottom w:val="single" w:sz="4" w:space="0" w:color="000000" w:themeColor="text1"/>
            </w:tcBorders>
          </w:tcPr>
          <w:p w14:paraId="57A52F02" w14:textId="77777777" w:rsidR="00B05534" w:rsidRDefault="00B05534" w:rsidP="00DD1A42">
            <w:pPr>
              <w:autoSpaceDE w:val="0"/>
              <w:autoSpaceDN w:val="0"/>
              <w:adjustRightInd w:val="0"/>
              <w:rPr>
                <w:rFonts w:cs="Cambria"/>
                <w:bCs/>
                <w:sz w:val="28"/>
                <w:szCs w:val="28"/>
              </w:rPr>
            </w:pPr>
          </w:p>
        </w:tc>
        <w:tc>
          <w:tcPr>
            <w:tcW w:w="3191" w:type="dxa"/>
            <w:tcBorders>
              <w:bottom w:val="single" w:sz="4" w:space="0" w:color="000000" w:themeColor="text1"/>
            </w:tcBorders>
          </w:tcPr>
          <w:p w14:paraId="770948B3" w14:textId="77777777" w:rsidR="00B05534" w:rsidRDefault="00B05534" w:rsidP="00DD1A42">
            <w:pPr>
              <w:autoSpaceDE w:val="0"/>
              <w:autoSpaceDN w:val="0"/>
              <w:adjustRightInd w:val="0"/>
              <w:rPr>
                <w:rFonts w:cs="Cambria"/>
                <w:bCs/>
                <w:sz w:val="28"/>
                <w:szCs w:val="28"/>
              </w:rPr>
            </w:pPr>
          </w:p>
        </w:tc>
      </w:tr>
      <w:tr w:rsidR="00B05534" w14:paraId="367A0A20" w14:textId="77777777" w:rsidTr="00EE5AFD">
        <w:tc>
          <w:tcPr>
            <w:tcW w:w="2268" w:type="dxa"/>
            <w:shd w:val="clear" w:color="auto" w:fill="808080" w:themeFill="background1" w:themeFillShade="80"/>
          </w:tcPr>
          <w:p w14:paraId="6AC3D301" w14:textId="77777777" w:rsidR="00B05534" w:rsidRDefault="00B05534" w:rsidP="00DD1A42">
            <w:pPr>
              <w:autoSpaceDE w:val="0"/>
              <w:autoSpaceDN w:val="0"/>
              <w:adjustRightInd w:val="0"/>
              <w:rPr>
                <w:rFonts w:cs="Cambria"/>
                <w:bCs/>
                <w:sz w:val="28"/>
                <w:szCs w:val="28"/>
              </w:rPr>
            </w:pPr>
          </w:p>
        </w:tc>
        <w:tc>
          <w:tcPr>
            <w:tcW w:w="2236" w:type="dxa"/>
            <w:shd w:val="clear" w:color="auto" w:fill="808080" w:themeFill="background1" w:themeFillShade="80"/>
          </w:tcPr>
          <w:p w14:paraId="7582C8B1" w14:textId="77777777" w:rsidR="00B05534" w:rsidRDefault="00B05534" w:rsidP="00DD1A42">
            <w:pPr>
              <w:autoSpaceDE w:val="0"/>
              <w:autoSpaceDN w:val="0"/>
              <w:adjustRightInd w:val="0"/>
              <w:rPr>
                <w:rFonts w:cs="Cambria"/>
                <w:bCs/>
                <w:sz w:val="28"/>
                <w:szCs w:val="28"/>
              </w:rPr>
            </w:pPr>
          </w:p>
        </w:tc>
        <w:tc>
          <w:tcPr>
            <w:tcW w:w="2550" w:type="dxa"/>
            <w:shd w:val="clear" w:color="auto" w:fill="808080" w:themeFill="background1" w:themeFillShade="80"/>
          </w:tcPr>
          <w:p w14:paraId="355A2DC1" w14:textId="77777777" w:rsidR="00B05534" w:rsidRDefault="00B05534" w:rsidP="00DD1A42">
            <w:pPr>
              <w:autoSpaceDE w:val="0"/>
              <w:autoSpaceDN w:val="0"/>
              <w:adjustRightInd w:val="0"/>
              <w:rPr>
                <w:rFonts w:cs="Cambria"/>
                <w:bCs/>
                <w:sz w:val="28"/>
                <w:szCs w:val="28"/>
              </w:rPr>
            </w:pPr>
          </w:p>
        </w:tc>
        <w:tc>
          <w:tcPr>
            <w:tcW w:w="3191" w:type="dxa"/>
            <w:shd w:val="clear" w:color="auto" w:fill="808080" w:themeFill="background1" w:themeFillShade="80"/>
          </w:tcPr>
          <w:p w14:paraId="5F9A1DE7" w14:textId="77777777" w:rsidR="00B05534" w:rsidRDefault="00B05534" w:rsidP="00DD1A42">
            <w:pPr>
              <w:autoSpaceDE w:val="0"/>
              <w:autoSpaceDN w:val="0"/>
              <w:adjustRightInd w:val="0"/>
              <w:rPr>
                <w:rFonts w:cs="Cambria"/>
                <w:bCs/>
                <w:sz w:val="28"/>
                <w:szCs w:val="28"/>
              </w:rPr>
            </w:pPr>
          </w:p>
        </w:tc>
      </w:tr>
      <w:tr w:rsidR="00B05534" w14:paraId="081A4436" w14:textId="77777777" w:rsidTr="00EE5AFD">
        <w:tc>
          <w:tcPr>
            <w:tcW w:w="2268" w:type="dxa"/>
          </w:tcPr>
          <w:p w14:paraId="02E333FD" w14:textId="77777777" w:rsidR="00B05534" w:rsidRDefault="00B05534" w:rsidP="00DD1A42">
            <w:pPr>
              <w:autoSpaceDE w:val="0"/>
              <w:autoSpaceDN w:val="0"/>
              <w:adjustRightInd w:val="0"/>
              <w:rPr>
                <w:rFonts w:cs="Cambria"/>
                <w:bCs/>
                <w:sz w:val="28"/>
                <w:szCs w:val="28"/>
              </w:rPr>
            </w:pPr>
            <w:r>
              <w:rPr>
                <w:rFonts w:cs="Cambria"/>
                <w:bCs/>
                <w:sz w:val="28"/>
                <w:szCs w:val="28"/>
              </w:rPr>
              <w:t>Rayon A</w:t>
            </w:r>
          </w:p>
        </w:tc>
        <w:tc>
          <w:tcPr>
            <w:tcW w:w="2236" w:type="dxa"/>
          </w:tcPr>
          <w:p w14:paraId="614E1386" w14:textId="77777777" w:rsidR="00B05534" w:rsidRDefault="00B05534" w:rsidP="00DD1A42">
            <w:pPr>
              <w:autoSpaceDE w:val="0"/>
              <w:autoSpaceDN w:val="0"/>
              <w:adjustRightInd w:val="0"/>
              <w:rPr>
                <w:rFonts w:cs="Cambria"/>
                <w:bCs/>
                <w:sz w:val="28"/>
                <w:szCs w:val="28"/>
              </w:rPr>
            </w:pPr>
            <w:r>
              <w:rPr>
                <w:rFonts w:cs="Cambria"/>
                <w:bCs/>
                <w:sz w:val="28"/>
                <w:szCs w:val="28"/>
              </w:rPr>
              <w:t>5 500</w:t>
            </w:r>
          </w:p>
        </w:tc>
        <w:tc>
          <w:tcPr>
            <w:tcW w:w="2550" w:type="dxa"/>
          </w:tcPr>
          <w:p w14:paraId="0B4FF8BE" w14:textId="77777777" w:rsidR="00B05534" w:rsidRDefault="00B05534" w:rsidP="00DD1A42">
            <w:pPr>
              <w:autoSpaceDE w:val="0"/>
              <w:autoSpaceDN w:val="0"/>
              <w:adjustRightInd w:val="0"/>
              <w:rPr>
                <w:rFonts w:cs="Cambria"/>
                <w:bCs/>
                <w:sz w:val="28"/>
                <w:szCs w:val="28"/>
              </w:rPr>
            </w:pPr>
            <w:r>
              <w:rPr>
                <w:rFonts w:cs="Cambria"/>
                <w:bCs/>
                <w:sz w:val="28"/>
                <w:szCs w:val="28"/>
              </w:rPr>
              <w:t>5 000</w:t>
            </w:r>
          </w:p>
        </w:tc>
        <w:tc>
          <w:tcPr>
            <w:tcW w:w="3191" w:type="dxa"/>
          </w:tcPr>
          <w:p w14:paraId="16063B36" w14:textId="77777777" w:rsidR="00B05534" w:rsidRPr="00BB2097" w:rsidRDefault="00B05534" w:rsidP="00B05534">
            <w:pPr>
              <w:pStyle w:val="Paragraphedeliste"/>
              <w:numPr>
                <w:ilvl w:val="0"/>
                <w:numId w:val="3"/>
              </w:numPr>
              <w:autoSpaceDE w:val="0"/>
              <w:autoSpaceDN w:val="0"/>
              <w:adjustRightInd w:val="0"/>
              <w:rPr>
                <w:rFonts w:cs="Cambria"/>
                <w:bCs/>
                <w:sz w:val="28"/>
                <w:szCs w:val="28"/>
              </w:rPr>
            </w:pPr>
            <w:r>
              <w:rPr>
                <w:rFonts w:cs="Cambria"/>
                <w:bCs/>
                <w:sz w:val="28"/>
                <w:szCs w:val="28"/>
              </w:rPr>
              <w:t>500 soit – 9 %</w:t>
            </w:r>
          </w:p>
        </w:tc>
      </w:tr>
      <w:tr w:rsidR="00B05534" w14:paraId="628AA597" w14:textId="77777777" w:rsidTr="00EE5AFD">
        <w:tc>
          <w:tcPr>
            <w:tcW w:w="2268" w:type="dxa"/>
          </w:tcPr>
          <w:p w14:paraId="72B78AEE" w14:textId="77777777" w:rsidR="00B05534" w:rsidRDefault="00B05534" w:rsidP="00DD1A42">
            <w:pPr>
              <w:autoSpaceDE w:val="0"/>
              <w:autoSpaceDN w:val="0"/>
              <w:adjustRightInd w:val="0"/>
              <w:rPr>
                <w:rFonts w:cs="Cambria"/>
                <w:bCs/>
                <w:sz w:val="28"/>
                <w:szCs w:val="28"/>
              </w:rPr>
            </w:pPr>
            <w:r>
              <w:rPr>
                <w:rFonts w:cs="Cambria"/>
                <w:bCs/>
                <w:sz w:val="28"/>
                <w:szCs w:val="28"/>
              </w:rPr>
              <w:t>Rayon B</w:t>
            </w:r>
          </w:p>
        </w:tc>
        <w:tc>
          <w:tcPr>
            <w:tcW w:w="2236" w:type="dxa"/>
          </w:tcPr>
          <w:p w14:paraId="0659B8F6" w14:textId="77777777" w:rsidR="00B05534" w:rsidRPr="00FB1599" w:rsidRDefault="00B05534" w:rsidP="00DD1A42">
            <w:pPr>
              <w:autoSpaceDE w:val="0"/>
              <w:autoSpaceDN w:val="0"/>
              <w:adjustRightInd w:val="0"/>
              <w:jc w:val="both"/>
              <w:rPr>
                <w:rFonts w:cs="Cambria"/>
                <w:bCs/>
                <w:sz w:val="28"/>
                <w:szCs w:val="28"/>
              </w:rPr>
            </w:pPr>
            <w:r w:rsidRPr="00FB1599">
              <w:rPr>
                <w:rFonts w:cs="Cambria"/>
                <w:bCs/>
                <w:sz w:val="28"/>
                <w:szCs w:val="28"/>
              </w:rPr>
              <w:t>6000</w:t>
            </w:r>
          </w:p>
        </w:tc>
        <w:tc>
          <w:tcPr>
            <w:tcW w:w="2550" w:type="dxa"/>
          </w:tcPr>
          <w:p w14:paraId="3B196971" w14:textId="77777777" w:rsidR="00B05534" w:rsidRPr="004872C3" w:rsidRDefault="00B05534" w:rsidP="00DD1A42">
            <w:pPr>
              <w:autoSpaceDE w:val="0"/>
              <w:autoSpaceDN w:val="0"/>
              <w:adjustRightInd w:val="0"/>
              <w:rPr>
                <w:rFonts w:cs="Cambria"/>
                <w:bCs/>
                <w:sz w:val="28"/>
                <w:szCs w:val="28"/>
              </w:rPr>
            </w:pPr>
            <w:r w:rsidRPr="004872C3">
              <w:rPr>
                <w:rFonts w:cs="Cambria"/>
                <w:bCs/>
                <w:sz w:val="28"/>
                <w:szCs w:val="28"/>
              </w:rPr>
              <w:t>6600</w:t>
            </w:r>
          </w:p>
        </w:tc>
        <w:tc>
          <w:tcPr>
            <w:tcW w:w="3191" w:type="dxa"/>
          </w:tcPr>
          <w:p w14:paraId="58EEF71B" w14:textId="77777777" w:rsidR="00B05534" w:rsidRPr="00214015" w:rsidRDefault="00B05534" w:rsidP="00DD1A42">
            <w:pPr>
              <w:autoSpaceDE w:val="0"/>
              <w:autoSpaceDN w:val="0"/>
              <w:adjustRightInd w:val="0"/>
              <w:rPr>
                <w:rFonts w:cs="Cambria"/>
                <w:bCs/>
                <w:sz w:val="28"/>
                <w:szCs w:val="28"/>
              </w:rPr>
            </w:pPr>
            <w:r>
              <w:rPr>
                <w:rFonts w:cs="Cambria"/>
                <w:bCs/>
                <w:sz w:val="28"/>
                <w:szCs w:val="28"/>
              </w:rPr>
              <w:t xml:space="preserve">        </w:t>
            </w:r>
            <w:r w:rsidRPr="00214015">
              <w:rPr>
                <w:rFonts w:cs="Cambria"/>
                <w:bCs/>
                <w:sz w:val="28"/>
                <w:szCs w:val="28"/>
              </w:rPr>
              <w:t xml:space="preserve"> + 600 soit </w:t>
            </w:r>
            <w:r>
              <w:rPr>
                <w:rFonts w:cs="Cambria"/>
                <w:bCs/>
                <w:sz w:val="28"/>
                <w:szCs w:val="28"/>
              </w:rPr>
              <w:t xml:space="preserve">+ </w:t>
            </w:r>
            <w:r w:rsidRPr="00214015">
              <w:rPr>
                <w:rFonts w:cs="Cambria"/>
                <w:bCs/>
                <w:sz w:val="28"/>
                <w:szCs w:val="28"/>
              </w:rPr>
              <w:t>10 %</w:t>
            </w:r>
          </w:p>
        </w:tc>
      </w:tr>
    </w:tbl>
    <w:p w14:paraId="7BFF8970" w14:textId="77777777" w:rsidR="00B05534" w:rsidRDefault="00B05534" w:rsidP="00B05534">
      <w:pPr>
        <w:autoSpaceDE w:val="0"/>
        <w:autoSpaceDN w:val="0"/>
        <w:adjustRightInd w:val="0"/>
        <w:rPr>
          <w:rFonts w:cs="Cambria"/>
          <w:bCs/>
          <w:sz w:val="28"/>
          <w:szCs w:val="28"/>
        </w:rPr>
      </w:pPr>
    </w:p>
    <w:p w14:paraId="154889FF" w14:textId="77777777" w:rsidR="00B05534" w:rsidRDefault="00B05534" w:rsidP="00B05534">
      <w:pPr>
        <w:autoSpaceDE w:val="0"/>
        <w:autoSpaceDN w:val="0"/>
        <w:adjustRightInd w:val="0"/>
        <w:rPr>
          <w:rFonts w:cs="Cambria"/>
          <w:bCs/>
          <w:sz w:val="28"/>
          <w:szCs w:val="28"/>
        </w:rPr>
      </w:pPr>
    </w:p>
    <w:p w14:paraId="1AE2BC4D" w14:textId="77777777" w:rsidR="00B05534" w:rsidRPr="007F22D4" w:rsidRDefault="00B05534" w:rsidP="00B05534">
      <w:pPr>
        <w:autoSpaceDE w:val="0"/>
        <w:autoSpaceDN w:val="0"/>
        <w:adjustRightInd w:val="0"/>
        <w:rPr>
          <w:rFonts w:cs="Cambria"/>
          <w:b/>
          <w:bCs/>
          <w:sz w:val="32"/>
          <w:szCs w:val="32"/>
          <w:u w:val="single"/>
        </w:rPr>
      </w:pPr>
      <w:r>
        <w:rPr>
          <w:rFonts w:cs="Cambria"/>
          <w:b/>
          <w:bCs/>
          <w:sz w:val="28"/>
          <w:szCs w:val="28"/>
        </w:rPr>
        <w:t>b</w:t>
      </w:r>
      <w:r w:rsidRPr="007F22D4">
        <w:rPr>
          <w:rFonts w:cs="Cambria"/>
          <w:b/>
          <w:bCs/>
          <w:sz w:val="28"/>
          <w:szCs w:val="28"/>
        </w:rPr>
        <w:t>)</w:t>
      </w:r>
      <w:r>
        <w:rPr>
          <w:rFonts w:cs="Cambria"/>
          <w:bCs/>
          <w:sz w:val="28"/>
          <w:szCs w:val="28"/>
        </w:rPr>
        <w:t xml:space="preserve">  </w:t>
      </w:r>
      <w:r>
        <w:rPr>
          <w:rFonts w:cs="Cambria"/>
          <w:b/>
          <w:bCs/>
          <w:sz w:val="32"/>
          <w:szCs w:val="32"/>
          <w:u w:val="single"/>
        </w:rPr>
        <w:t>Les qualités d’un tableau de bord</w:t>
      </w:r>
    </w:p>
    <w:p w14:paraId="075EA673" w14:textId="77777777" w:rsidR="00B05534" w:rsidRDefault="00B05534" w:rsidP="00B05534">
      <w:pPr>
        <w:autoSpaceDE w:val="0"/>
        <w:autoSpaceDN w:val="0"/>
        <w:adjustRightInd w:val="0"/>
        <w:rPr>
          <w:rFonts w:cs="Cambria"/>
          <w:bCs/>
          <w:sz w:val="28"/>
          <w:szCs w:val="28"/>
        </w:rPr>
      </w:pPr>
    </w:p>
    <w:tbl>
      <w:tblPr>
        <w:tblStyle w:val="Grilledutableau"/>
        <w:tblW w:w="0" w:type="auto"/>
        <w:tblLook w:val="04A0" w:firstRow="1" w:lastRow="0" w:firstColumn="1" w:lastColumn="0" w:noHBand="0" w:noVBand="1"/>
      </w:tblPr>
      <w:tblGrid>
        <w:gridCol w:w="1794"/>
        <w:gridCol w:w="7266"/>
      </w:tblGrid>
      <w:tr w:rsidR="00B05534" w14:paraId="6AC772DA" w14:textId="77777777" w:rsidTr="00DD1A42">
        <w:tc>
          <w:tcPr>
            <w:tcW w:w="10169" w:type="dxa"/>
            <w:gridSpan w:val="2"/>
            <w:shd w:val="clear" w:color="auto" w:fill="FFFF00"/>
          </w:tcPr>
          <w:p w14:paraId="55244066" w14:textId="77777777" w:rsidR="00B05534" w:rsidRPr="00FB1599" w:rsidRDefault="00B05534" w:rsidP="00DD1A42">
            <w:pPr>
              <w:autoSpaceDE w:val="0"/>
              <w:autoSpaceDN w:val="0"/>
              <w:adjustRightInd w:val="0"/>
              <w:jc w:val="center"/>
              <w:rPr>
                <w:rFonts w:cs="Cambria"/>
                <w:b/>
                <w:bCs/>
                <w:sz w:val="32"/>
                <w:szCs w:val="32"/>
              </w:rPr>
            </w:pPr>
            <w:r w:rsidRPr="00FB1599">
              <w:rPr>
                <w:rFonts w:cs="Cambria"/>
                <w:b/>
                <w:bCs/>
                <w:sz w:val="32"/>
                <w:szCs w:val="32"/>
              </w:rPr>
              <w:t>Les qualités d’un tableau de bord</w:t>
            </w:r>
          </w:p>
        </w:tc>
      </w:tr>
      <w:tr w:rsidR="00B05534" w14:paraId="2E95AD23" w14:textId="77777777" w:rsidTr="00DD1A42">
        <w:tc>
          <w:tcPr>
            <w:tcW w:w="1809" w:type="dxa"/>
            <w:shd w:val="clear" w:color="auto" w:fill="FFFF00"/>
          </w:tcPr>
          <w:p w14:paraId="008E0152" w14:textId="77777777" w:rsidR="00B05534" w:rsidRPr="00FB1599" w:rsidRDefault="00B05534" w:rsidP="00DD1A42">
            <w:pPr>
              <w:autoSpaceDE w:val="0"/>
              <w:autoSpaceDN w:val="0"/>
              <w:adjustRightInd w:val="0"/>
              <w:rPr>
                <w:rFonts w:cs="Cambria"/>
                <w:b/>
                <w:bCs/>
                <w:sz w:val="28"/>
                <w:szCs w:val="28"/>
              </w:rPr>
            </w:pPr>
            <w:r w:rsidRPr="00FB1599">
              <w:rPr>
                <w:rFonts w:cs="Cambria"/>
                <w:b/>
                <w:bCs/>
                <w:sz w:val="28"/>
                <w:szCs w:val="28"/>
              </w:rPr>
              <w:t>Simple</w:t>
            </w:r>
          </w:p>
        </w:tc>
        <w:tc>
          <w:tcPr>
            <w:tcW w:w="8360" w:type="dxa"/>
          </w:tcPr>
          <w:p w14:paraId="62D55E76" w14:textId="77777777" w:rsidR="00B05534" w:rsidRDefault="00B05534" w:rsidP="00DD1A42">
            <w:pPr>
              <w:autoSpaceDE w:val="0"/>
              <w:autoSpaceDN w:val="0"/>
              <w:adjustRightInd w:val="0"/>
              <w:rPr>
                <w:rFonts w:cs="Cambria"/>
                <w:bCs/>
                <w:sz w:val="28"/>
                <w:szCs w:val="28"/>
              </w:rPr>
            </w:pPr>
            <w:r>
              <w:rPr>
                <w:rFonts w:cs="Cambria"/>
                <w:bCs/>
                <w:sz w:val="28"/>
                <w:szCs w:val="28"/>
              </w:rPr>
              <w:t>10 à 15 indicateurs maximum</w:t>
            </w:r>
          </w:p>
        </w:tc>
      </w:tr>
      <w:tr w:rsidR="00B05534" w14:paraId="4D98C226" w14:textId="77777777" w:rsidTr="00DD1A42">
        <w:tc>
          <w:tcPr>
            <w:tcW w:w="1809" w:type="dxa"/>
            <w:shd w:val="clear" w:color="auto" w:fill="FFFF00"/>
          </w:tcPr>
          <w:p w14:paraId="3F1FD59B" w14:textId="77777777" w:rsidR="00B05534" w:rsidRPr="00FB1599" w:rsidRDefault="00B05534" w:rsidP="00DD1A42">
            <w:pPr>
              <w:autoSpaceDE w:val="0"/>
              <w:autoSpaceDN w:val="0"/>
              <w:adjustRightInd w:val="0"/>
              <w:rPr>
                <w:rFonts w:cs="Cambria"/>
                <w:b/>
                <w:bCs/>
                <w:sz w:val="28"/>
                <w:szCs w:val="28"/>
              </w:rPr>
            </w:pPr>
            <w:r w:rsidRPr="00FB1599">
              <w:rPr>
                <w:rFonts w:cs="Cambria"/>
                <w:b/>
                <w:bCs/>
                <w:sz w:val="28"/>
                <w:szCs w:val="28"/>
              </w:rPr>
              <w:t>Pertinent</w:t>
            </w:r>
          </w:p>
        </w:tc>
        <w:tc>
          <w:tcPr>
            <w:tcW w:w="8360" w:type="dxa"/>
          </w:tcPr>
          <w:p w14:paraId="4352767F" w14:textId="77777777" w:rsidR="00B05534" w:rsidRDefault="00B05534" w:rsidP="00DD1A42">
            <w:pPr>
              <w:autoSpaceDE w:val="0"/>
              <w:autoSpaceDN w:val="0"/>
              <w:adjustRightInd w:val="0"/>
              <w:rPr>
                <w:rFonts w:cs="Cambria"/>
                <w:bCs/>
                <w:sz w:val="28"/>
                <w:szCs w:val="28"/>
              </w:rPr>
            </w:pPr>
            <w:r>
              <w:rPr>
                <w:rFonts w:cs="Cambria"/>
                <w:bCs/>
                <w:sz w:val="28"/>
                <w:szCs w:val="28"/>
              </w:rPr>
              <w:t>Les meilleurs indicateurs possibles, significatifs des objectifs</w:t>
            </w:r>
          </w:p>
        </w:tc>
      </w:tr>
      <w:tr w:rsidR="00B05534" w14:paraId="02D76184" w14:textId="77777777" w:rsidTr="00DD1A42">
        <w:tc>
          <w:tcPr>
            <w:tcW w:w="1809" w:type="dxa"/>
            <w:shd w:val="clear" w:color="auto" w:fill="FFFF00"/>
          </w:tcPr>
          <w:p w14:paraId="785D07BD" w14:textId="77777777" w:rsidR="00B05534" w:rsidRPr="00FB1599" w:rsidRDefault="00B05534" w:rsidP="00DD1A42">
            <w:pPr>
              <w:autoSpaceDE w:val="0"/>
              <w:autoSpaceDN w:val="0"/>
              <w:adjustRightInd w:val="0"/>
              <w:rPr>
                <w:rFonts w:cs="Cambria"/>
                <w:b/>
                <w:bCs/>
                <w:sz w:val="28"/>
                <w:szCs w:val="28"/>
              </w:rPr>
            </w:pPr>
            <w:r w:rsidRPr="00FB1599">
              <w:rPr>
                <w:rFonts w:cs="Cambria"/>
                <w:b/>
                <w:bCs/>
                <w:sz w:val="28"/>
                <w:szCs w:val="28"/>
              </w:rPr>
              <w:t>Synoptique</w:t>
            </w:r>
          </w:p>
        </w:tc>
        <w:tc>
          <w:tcPr>
            <w:tcW w:w="8360" w:type="dxa"/>
          </w:tcPr>
          <w:p w14:paraId="23FED8FF" w14:textId="77777777" w:rsidR="00B05534" w:rsidRDefault="00B05534" w:rsidP="00DD1A42">
            <w:pPr>
              <w:autoSpaceDE w:val="0"/>
              <w:autoSpaceDN w:val="0"/>
              <w:adjustRightInd w:val="0"/>
              <w:rPr>
                <w:rFonts w:cs="Cambria"/>
                <w:bCs/>
                <w:sz w:val="28"/>
                <w:szCs w:val="28"/>
              </w:rPr>
            </w:pPr>
            <w:r>
              <w:rPr>
                <w:rFonts w:cs="Cambria"/>
                <w:bCs/>
                <w:sz w:val="28"/>
                <w:szCs w:val="28"/>
              </w:rPr>
              <w:t>Vue d’ensemble des éléments les plus importants</w:t>
            </w:r>
          </w:p>
        </w:tc>
      </w:tr>
      <w:tr w:rsidR="00B05534" w14:paraId="488D638C" w14:textId="77777777" w:rsidTr="00DD1A42">
        <w:tc>
          <w:tcPr>
            <w:tcW w:w="1809" w:type="dxa"/>
            <w:shd w:val="clear" w:color="auto" w:fill="FFFF00"/>
          </w:tcPr>
          <w:p w14:paraId="1BC4C53E" w14:textId="77777777" w:rsidR="00B05534" w:rsidRPr="00FB1599" w:rsidRDefault="00B05534" w:rsidP="00DD1A42">
            <w:pPr>
              <w:autoSpaceDE w:val="0"/>
              <w:autoSpaceDN w:val="0"/>
              <w:adjustRightInd w:val="0"/>
              <w:rPr>
                <w:rFonts w:cs="Cambria"/>
                <w:b/>
                <w:bCs/>
                <w:sz w:val="28"/>
                <w:szCs w:val="28"/>
              </w:rPr>
            </w:pPr>
            <w:r w:rsidRPr="00FB1599">
              <w:rPr>
                <w:rFonts w:cs="Cambria"/>
                <w:b/>
                <w:bCs/>
                <w:sz w:val="28"/>
                <w:szCs w:val="28"/>
              </w:rPr>
              <w:t>Pédagogique</w:t>
            </w:r>
          </w:p>
        </w:tc>
        <w:tc>
          <w:tcPr>
            <w:tcW w:w="8360" w:type="dxa"/>
          </w:tcPr>
          <w:p w14:paraId="66CFAF85" w14:textId="77777777" w:rsidR="00B05534" w:rsidRDefault="00B05534" w:rsidP="00DD1A42">
            <w:pPr>
              <w:autoSpaceDE w:val="0"/>
              <w:autoSpaceDN w:val="0"/>
              <w:adjustRightInd w:val="0"/>
              <w:rPr>
                <w:rFonts w:cs="Cambria"/>
                <w:bCs/>
                <w:sz w:val="28"/>
                <w:szCs w:val="28"/>
              </w:rPr>
            </w:pPr>
            <w:r>
              <w:rPr>
                <w:rFonts w:cs="Cambria"/>
                <w:bCs/>
                <w:sz w:val="28"/>
                <w:szCs w:val="28"/>
              </w:rPr>
              <w:t>Suffisamment clair et illustratif dans sa présentation</w:t>
            </w:r>
          </w:p>
        </w:tc>
      </w:tr>
      <w:tr w:rsidR="00B05534" w14:paraId="23825A2B" w14:textId="77777777" w:rsidTr="00DD1A42">
        <w:tc>
          <w:tcPr>
            <w:tcW w:w="1809" w:type="dxa"/>
            <w:shd w:val="clear" w:color="auto" w:fill="FFFF00"/>
          </w:tcPr>
          <w:p w14:paraId="7330D0B7" w14:textId="77777777" w:rsidR="00B05534" w:rsidRPr="00FB1599" w:rsidRDefault="00B05534" w:rsidP="00DD1A42">
            <w:pPr>
              <w:autoSpaceDE w:val="0"/>
              <w:autoSpaceDN w:val="0"/>
              <w:adjustRightInd w:val="0"/>
              <w:rPr>
                <w:rFonts w:cs="Cambria"/>
                <w:b/>
                <w:bCs/>
                <w:sz w:val="28"/>
                <w:szCs w:val="28"/>
              </w:rPr>
            </w:pPr>
            <w:r w:rsidRPr="00FB1599">
              <w:rPr>
                <w:rFonts w:cs="Cambria"/>
                <w:b/>
                <w:bCs/>
                <w:sz w:val="28"/>
                <w:szCs w:val="28"/>
              </w:rPr>
              <w:t>A jour</w:t>
            </w:r>
          </w:p>
        </w:tc>
        <w:tc>
          <w:tcPr>
            <w:tcW w:w="8360" w:type="dxa"/>
          </w:tcPr>
          <w:p w14:paraId="32C3FB09" w14:textId="77777777" w:rsidR="00B05534" w:rsidRDefault="00B05534" w:rsidP="00DD1A42">
            <w:pPr>
              <w:autoSpaceDE w:val="0"/>
              <w:autoSpaceDN w:val="0"/>
              <w:adjustRightInd w:val="0"/>
              <w:rPr>
                <w:rFonts w:cs="Cambria"/>
                <w:bCs/>
                <w:sz w:val="28"/>
                <w:szCs w:val="28"/>
              </w:rPr>
            </w:pPr>
            <w:r>
              <w:rPr>
                <w:rFonts w:cs="Cambria"/>
                <w:bCs/>
                <w:sz w:val="28"/>
                <w:szCs w:val="28"/>
              </w:rPr>
              <w:t>Détenant des informations faciles et rapides à obtenir ou à calculer</w:t>
            </w:r>
          </w:p>
        </w:tc>
      </w:tr>
    </w:tbl>
    <w:p w14:paraId="5AC9EB8D" w14:textId="77777777" w:rsidR="00B05534" w:rsidRDefault="00B05534" w:rsidP="00B05534">
      <w:pPr>
        <w:autoSpaceDE w:val="0"/>
        <w:autoSpaceDN w:val="0"/>
        <w:adjustRightInd w:val="0"/>
        <w:rPr>
          <w:rFonts w:cs="Cambria"/>
          <w:bCs/>
          <w:sz w:val="28"/>
          <w:szCs w:val="28"/>
        </w:rPr>
      </w:pPr>
    </w:p>
    <w:p w14:paraId="0F5E6874" w14:textId="77777777" w:rsidR="00B05534" w:rsidRPr="007F22D4" w:rsidRDefault="00B05534" w:rsidP="00B05534">
      <w:pPr>
        <w:autoSpaceDE w:val="0"/>
        <w:autoSpaceDN w:val="0"/>
        <w:adjustRightInd w:val="0"/>
        <w:rPr>
          <w:rFonts w:cs="Cambria"/>
          <w:b/>
          <w:bCs/>
          <w:sz w:val="32"/>
          <w:szCs w:val="32"/>
          <w:u w:val="single"/>
        </w:rPr>
      </w:pPr>
      <w:r>
        <w:rPr>
          <w:rFonts w:cs="Cambria"/>
          <w:b/>
          <w:bCs/>
          <w:sz w:val="32"/>
          <w:szCs w:val="32"/>
          <w:u w:val="single"/>
        </w:rPr>
        <w:t>c) Les fonctions du tableau de bord</w:t>
      </w:r>
    </w:p>
    <w:p w14:paraId="33D9D0A8" w14:textId="77777777" w:rsidR="00B05534" w:rsidRDefault="00B05534" w:rsidP="00B05534">
      <w:pPr>
        <w:autoSpaceDE w:val="0"/>
        <w:autoSpaceDN w:val="0"/>
        <w:adjustRightInd w:val="0"/>
        <w:rPr>
          <w:rFonts w:cs="Cambria"/>
          <w:bCs/>
          <w:sz w:val="28"/>
          <w:szCs w:val="28"/>
        </w:rPr>
      </w:pPr>
    </w:p>
    <w:p w14:paraId="46267E72" w14:textId="77777777" w:rsidR="00B05534" w:rsidRDefault="00B05534" w:rsidP="00B05534">
      <w:pPr>
        <w:autoSpaceDE w:val="0"/>
        <w:autoSpaceDN w:val="0"/>
        <w:adjustRightInd w:val="0"/>
        <w:rPr>
          <w:rFonts w:cs="Cambria"/>
          <w:bCs/>
          <w:sz w:val="28"/>
          <w:szCs w:val="28"/>
        </w:rPr>
      </w:pPr>
      <w:r w:rsidRPr="008D3722">
        <w:rPr>
          <w:rFonts w:cs="Cambria"/>
          <w:b/>
          <w:bCs/>
          <w:sz w:val="28"/>
          <w:szCs w:val="28"/>
        </w:rPr>
        <w:t>Mesure de performance</w:t>
      </w:r>
      <w:r>
        <w:rPr>
          <w:rFonts w:cs="Cambria"/>
          <w:bCs/>
          <w:sz w:val="28"/>
          <w:szCs w:val="28"/>
        </w:rPr>
        <w:t> ; il met en évidence les résultats physiques (quantités vendues, nombre de clients, etc.. ) ou financiers (CA, marge) par rapport aux objectifs.</w:t>
      </w:r>
    </w:p>
    <w:p w14:paraId="4DCDA4D8" w14:textId="77777777" w:rsidR="00B05534" w:rsidRDefault="00B05534" w:rsidP="00B05534">
      <w:pPr>
        <w:autoSpaceDE w:val="0"/>
        <w:autoSpaceDN w:val="0"/>
        <w:adjustRightInd w:val="0"/>
        <w:rPr>
          <w:rFonts w:cs="Cambria"/>
          <w:bCs/>
          <w:sz w:val="28"/>
          <w:szCs w:val="28"/>
        </w:rPr>
      </w:pPr>
    </w:p>
    <w:p w14:paraId="6539CC9B" w14:textId="77777777" w:rsidR="00B05534" w:rsidRDefault="00B05534" w:rsidP="00B05534">
      <w:pPr>
        <w:autoSpaceDE w:val="0"/>
        <w:autoSpaceDN w:val="0"/>
        <w:adjustRightInd w:val="0"/>
        <w:rPr>
          <w:rFonts w:cs="Cambria"/>
          <w:bCs/>
          <w:sz w:val="28"/>
          <w:szCs w:val="28"/>
        </w:rPr>
      </w:pPr>
      <w:r w:rsidRPr="008D3722">
        <w:rPr>
          <w:rFonts w:cs="Cambria"/>
          <w:b/>
          <w:bCs/>
          <w:sz w:val="28"/>
          <w:szCs w:val="28"/>
        </w:rPr>
        <w:t>Diagnostic</w:t>
      </w:r>
      <w:r>
        <w:rPr>
          <w:rFonts w:cs="Cambria"/>
          <w:bCs/>
          <w:sz w:val="28"/>
          <w:szCs w:val="28"/>
        </w:rPr>
        <w:t> ;  il attire l’attention sur les phénomènes anormaux, c'est-à-dire au-delà d’un seuil de tolérance défini pour chaque interlocuteur.</w:t>
      </w:r>
    </w:p>
    <w:p w14:paraId="756B43DA" w14:textId="77777777" w:rsidR="00B05534" w:rsidRDefault="00B05534" w:rsidP="00B05534">
      <w:pPr>
        <w:autoSpaceDE w:val="0"/>
        <w:autoSpaceDN w:val="0"/>
        <w:adjustRightInd w:val="0"/>
        <w:rPr>
          <w:rFonts w:cs="Cambria"/>
          <w:bCs/>
          <w:sz w:val="28"/>
          <w:szCs w:val="28"/>
        </w:rPr>
      </w:pPr>
    </w:p>
    <w:p w14:paraId="2F16F177" w14:textId="77777777" w:rsidR="00B05534" w:rsidRDefault="00B05534" w:rsidP="00B05534">
      <w:pPr>
        <w:autoSpaceDE w:val="0"/>
        <w:autoSpaceDN w:val="0"/>
        <w:adjustRightInd w:val="0"/>
        <w:rPr>
          <w:rFonts w:cs="Cambria"/>
          <w:bCs/>
          <w:sz w:val="28"/>
          <w:szCs w:val="28"/>
        </w:rPr>
      </w:pPr>
      <w:r w:rsidRPr="008D3722">
        <w:rPr>
          <w:rFonts w:cs="Cambria"/>
          <w:b/>
          <w:bCs/>
          <w:sz w:val="28"/>
          <w:szCs w:val="28"/>
        </w:rPr>
        <w:t>Dialogue</w:t>
      </w:r>
      <w:r>
        <w:rPr>
          <w:rFonts w:cs="Cambria"/>
          <w:bCs/>
          <w:sz w:val="28"/>
          <w:szCs w:val="28"/>
        </w:rPr>
        <w:t> ; il alimente le dialogue et la négociation des objectifs entre les différents niveaux hiérarchiques.</w:t>
      </w:r>
    </w:p>
    <w:p w14:paraId="1E3A3208" w14:textId="77777777" w:rsidR="00B05534" w:rsidRDefault="00B05534" w:rsidP="00B05534">
      <w:pPr>
        <w:autoSpaceDE w:val="0"/>
        <w:autoSpaceDN w:val="0"/>
        <w:adjustRightInd w:val="0"/>
        <w:rPr>
          <w:rFonts w:cs="Cambria"/>
          <w:bCs/>
          <w:sz w:val="28"/>
          <w:szCs w:val="28"/>
        </w:rPr>
      </w:pPr>
    </w:p>
    <w:p w14:paraId="399E218B" w14:textId="77777777" w:rsidR="00B05534" w:rsidRDefault="00B05534" w:rsidP="00B05534">
      <w:pPr>
        <w:autoSpaceDE w:val="0"/>
        <w:autoSpaceDN w:val="0"/>
        <w:adjustRightInd w:val="0"/>
        <w:rPr>
          <w:rFonts w:cs="Cambria"/>
          <w:bCs/>
          <w:sz w:val="28"/>
          <w:szCs w:val="28"/>
        </w:rPr>
      </w:pPr>
      <w:r w:rsidRPr="008D3722">
        <w:rPr>
          <w:rFonts w:cs="Cambria"/>
          <w:b/>
          <w:bCs/>
          <w:sz w:val="28"/>
          <w:szCs w:val="28"/>
        </w:rPr>
        <w:t>Information </w:t>
      </w:r>
      <w:r>
        <w:rPr>
          <w:rFonts w:cs="Cambria"/>
          <w:bCs/>
          <w:sz w:val="28"/>
          <w:szCs w:val="28"/>
        </w:rPr>
        <w:t>; il informe les manageurs sur les performances obtenues par d’autres unités marchandes du même réseau ou par d’autres départements de l’entreprise.</w:t>
      </w:r>
    </w:p>
    <w:p w14:paraId="027993A9" w14:textId="77777777" w:rsidR="00B05534" w:rsidRDefault="00B05534" w:rsidP="00B05534">
      <w:pPr>
        <w:autoSpaceDE w:val="0"/>
        <w:autoSpaceDN w:val="0"/>
        <w:adjustRightInd w:val="0"/>
        <w:rPr>
          <w:rFonts w:cs="Cambria"/>
          <w:bCs/>
          <w:sz w:val="28"/>
          <w:szCs w:val="28"/>
        </w:rPr>
      </w:pPr>
    </w:p>
    <w:p w14:paraId="0D227CC9" w14:textId="77777777" w:rsidR="00B05534" w:rsidRDefault="00B05534" w:rsidP="00B05534">
      <w:pPr>
        <w:autoSpaceDE w:val="0"/>
        <w:autoSpaceDN w:val="0"/>
        <w:adjustRightInd w:val="0"/>
        <w:rPr>
          <w:rFonts w:cs="Cambria"/>
          <w:bCs/>
          <w:sz w:val="28"/>
          <w:szCs w:val="28"/>
        </w:rPr>
      </w:pPr>
      <w:r w:rsidRPr="008D3722">
        <w:rPr>
          <w:rFonts w:cs="Cambria"/>
          <w:b/>
          <w:bCs/>
          <w:sz w:val="28"/>
          <w:szCs w:val="28"/>
        </w:rPr>
        <w:t>Pédagogie</w:t>
      </w:r>
      <w:r>
        <w:rPr>
          <w:rFonts w:cs="Cambria"/>
          <w:bCs/>
          <w:sz w:val="28"/>
          <w:szCs w:val="28"/>
        </w:rPr>
        <w:t> ; il pousse les manageurs à développer leur aptitude à la décision et à communiquer avec leurs collaborateurs afin de les motiver.</w:t>
      </w:r>
    </w:p>
    <w:p w14:paraId="7F19DBF2" w14:textId="77777777" w:rsidR="00B05534" w:rsidRDefault="00B05534" w:rsidP="00B05534">
      <w:pPr>
        <w:autoSpaceDE w:val="0"/>
        <w:autoSpaceDN w:val="0"/>
        <w:adjustRightInd w:val="0"/>
        <w:rPr>
          <w:rFonts w:cs="Cambria"/>
          <w:bCs/>
          <w:sz w:val="28"/>
          <w:szCs w:val="28"/>
        </w:rPr>
      </w:pPr>
    </w:p>
    <w:p w14:paraId="1E17DB34" w14:textId="77777777" w:rsidR="00EE5AFD" w:rsidRDefault="00EE5AFD" w:rsidP="00B05534">
      <w:pPr>
        <w:autoSpaceDE w:val="0"/>
        <w:autoSpaceDN w:val="0"/>
        <w:adjustRightInd w:val="0"/>
        <w:rPr>
          <w:rFonts w:cs="Cambria"/>
          <w:bCs/>
          <w:sz w:val="28"/>
          <w:szCs w:val="28"/>
        </w:rPr>
      </w:pPr>
    </w:p>
    <w:p w14:paraId="14410DAB" w14:textId="77777777" w:rsidR="00EE5AFD" w:rsidRDefault="00EE5AFD" w:rsidP="00B05534">
      <w:pPr>
        <w:autoSpaceDE w:val="0"/>
        <w:autoSpaceDN w:val="0"/>
        <w:adjustRightInd w:val="0"/>
        <w:rPr>
          <w:rFonts w:cs="Cambria"/>
          <w:bCs/>
          <w:sz w:val="28"/>
          <w:szCs w:val="28"/>
        </w:rPr>
      </w:pPr>
    </w:p>
    <w:p w14:paraId="1EB6204E" w14:textId="77777777" w:rsidR="00B05534" w:rsidRDefault="00B05534" w:rsidP="00B05534">
      <w:pPr>
        <w:autoSpaceDE w:val="0"/>
        <w:autoSpaceDN w:val="0"/>
        <w:adjustRightInd w:val="0"/>
        <w:rPr>
          <w:rFonts w:cs="Cambria"/>
          <w:bCs/>
          <w:sz w:val="28"/>
          <w:szCs w:val="28"/>
        </w:rPr>
      </w:pPr>
    </w:p>
    <w:p w14:paraId="4C02193E" w14:textId="77777777" w:rsidR="00B05534" w:rsidRPr="007F22D4" w:rsidRDefault="00B05534" w:rsidP="00B05534">
      <w:pPr>
        <w:autoSpaceDE w:val="0"/>
        <w:autoSpaceDN w:val="0"/>
        <w:adjustRightInd w:val="0"/>
        <w:rPr>
          <w:rFonts w:cs="Cambria"/>
          <w:b/>
          <w:bCs/>
          <w:sz w:val="32"/>
          <w:szCs w:val="32"/>
          <w:u w:val="single"/>
        </w:rPr>
      </w:pPr>
      <w:r>
        <w:rPr>
          <w:rFonts w:cs="Cambria"/>
          <w:b/>
          <w:bCs/>
          <w:sz w:val="32"/>
          <w:szCs w:val="32"/>
          <w:u w:val="single"/>
        </w:rPr>
        <w:lastRenderedPageBreak/>
        <w:t>d) La pyramide des tableaux de bord</w:t>
      </w:r>
    </w:p>
    <w:p w14:paraId="078F2F40" w14:textId="77777777" w:rsidR="00B05534" w:rsidRDefault="00B05534" w:rsidP="00B05534">
      <w:pPr>
        <w:autoSpaceDE w:val="0"/>
        <w:autoSpaceDN w:val="0"/>
        <w:adjustRightInd w:val="0"/>
        <w:rPr>
          <w:rFonts w:cs="Cambria"/>
          <w:bCs/>
          <w:sz w:val="28"/>
          <w:szCs w:val="28"/>
        </w:rPr>
      </w:pPr>
    </w:p>
    <w:p w14:paraId="1B1467EB" w14:textId="77777777" w:rsidR="00B05534" w:rsidRDefault="00B05534" w:rsidP="00B05534">
      <w:pPr>
        <w:autoSpaceDE w:val="0"/>
        <w:autoSpaceDN w:val="0"/>
        <w:adjustRightInd w:val="0"/>
        <w:rPr>
          <w:rFonts w:cs="Cambria"/>
          <w:bCs/>
          <w:sz w:val="28"/>
          <w:szCs w:val="28"/>
        </w:rPr>
      </w:pPr>
      <w:r>
        <w:rPr>
          <w:rFonts w:cs="Cambria"/>
          <w:bCs/>
          <w:sz w:val="28"/>
          <w:szCs w:val="28"/>
        </w:rPr>
        <w:t>Le choix des indicateurs doit répondre à une double contrainte :</w:t>
      </w:r>
    </w:p>
    <w:p w14:paraId="78E368A7" w14:textId="77777777" w:rsidR="00B05534" w:rsidRDefault="00B05534" w:rsidP="00B05534">
      <w:pPr>
        <w:autoSpaceDE w:val="0"/>
        <w:autoSpaceDN w:val="0"/>
        <w:adjustRightInd w:val="0"/>
        <w:rPr>
          <w:rFonts w:cs="Cambria"/>
          <w:bCs/>
          <w:sz w:val="28"/>
          <w:szCs w:val="28"/>
        </w:rPr>
      </w:pPr>
    </w:p>
    <w:p w14:paraId="4732B70B" w14:textId="77777777" w:rsidR="00B05534" w:rsidRPr="00504F90" w:rsidRDefault="00B05534" w:rsidP="00B05534">
      <w:pPr>
        <w:pStyle w:val="Paragraphedeliste"/>
        <w:numPr>
          <w:ilvl w:val="0"/>
          <w:numId w:val="3"/>
        </w:numPr>
        <w:autoSpaceDE w:val="0"/>
        <w:autoSpaceDN w:val="0"/>
        <w:adjustRightInd w:val="0"/>
        <w:rPr>
          <w:rFonts w:cs="Cambria"/>
          <w:bCs/>
          <w:sz w:val="28"/>
          <w:szCs w:val="28"/>
        </w:rPr>
      </w:pPr>
      <w:r w:rsidRPr="00504F90">
        <w:rPr>
          <w:rFonts w:cs="Cambria"/>
          <w:bCs/>
          <w:sz w:val="28"/>
          <w:szCs w:val="28"/>
        </w:rPr>
        <w:t>Ils doivent faciliter le diagnostic et le pilotage de chaque entité (rayon ou service)</w:t>
      </w:r>
    </w:p>
    <w:p w14:paraId="7FA4FBE1" w14:textId="77777777" w:rsidR="00B05534" w:rsidRDefault="00B05534" w:rsidP="00B05534">
      <w:pPr>
        <w:pStyle w:val="Paragraphedeliste"/>
        <w:numPr>
          <w:ilvl w:val="0"/>
          <w:numId w:val="3"/>
        </w:numPr>
        <w:autoSpaceDE w:val="0"/>
        <w:autoSpaceDN w:val="0"/>
        <w:adjustRightInd w:val="0"/>
        <w:rPr>
          <w:rFonts w:cs="Cambria"/>
          <w:bCs/>
          <w:sz w:val="28"/>
          <w:szCs w:val="28"/>
        </w:rPr>
      </w:pPr>
      <w:r w:rsidRPr="00504F90">
        <w:rPr>
          <w:rFonts w:cs="Cambria"/>
          <w:bCs/>
          <w:sz w:val="28"/>
          <w:szCs w:val="28"/>
        </w:rPr>
        <w:t>Ils doivent être cohérents entre eux pour permettre d’agréger les résultats en passant d’un niveau à l’autre</w:t>
      </w:r>
    </w:p>
    <w:p w14:paraId="775FF39A" w14:textId="77777777" w:rsidR="00B05534" w:rsidRDefault="00B05534" w:rsidP="00B05534">
      <w:pPr>
        <w:autoSpaceDE w:val="0"/>
        <w:autoSpaceDN w:val="0"/>
        <w:adjustRightInd w:val="0"/>
        <w:rPr>
          <w:rFonts w:cs="Cambria"/>
          <w:bCs/>
          <w:sz w:val="28"/>
          <w:szCs w:val="28"/>
        </w:rPr>
      </w:pPr>
    </w:p>
    <w:p w14:paraId="3711475E" w14:textId="77777777" w:rsidR="00B05534" w:rsidRDefault="00B05534" w:rsidP="00B05534">
      <w:pPr>
        <w:autoSpaceDE w:val="0"/>
        <w:autoSpaceDN w:val="0"/>
        <w:adjustRightInd w:val="0"/>
        <w:rPr>
          <w:rFonts w:cs="Cambria"/>
          <w:bCs/>
          <w:sz w:val="28"/>
          <w:szCs w:val="28"/>
        </w:rPr>
      </w:pPr>
    </w:p>
    <w:p w14:paraId="2CEBB4B2" w14:textId="77777777" w:rsidR="00B05534" w:rsidRPr="00504F90" w:rsidRDefault="00B05534" w:rsidP="00B05534">
      <w:pPr>
        <w:autoSpaceDE w:val="0"/>
        <w:autoSpaceDN w:val="0"/>
        <w:adjustRightInd w:val="0"/>
        <w:rPr>
          <w:rFonts w:cs="Cambria"/>
          <w:bCs/>
          <w:sz w:val="28"/>
          <w:szCs w:val="28"/>
        </w:rPr>
      </w:pPr>
      <w:r>
        <w:rPr>
          <w:rFonts w:cs="Cambria"/>
          <w:bCs/>
          <w:sz w:val="28"/>
          <w:szCs w:val="28"/>
        </w:rPr>
        <w:t>Ainsi, ils facilitent le dialogue entre les responsabilités de ces différents niveaux</w:t>
      </w:r>
    </w:p>
    <w:p w14:paraId="697FD871" w14:textId="77777777" w:rsidR="00B05534" w:rsidRDefault="00B05534" w:rsidP="00B05534">
      <w:pPr>
        <w:autoSpaceDE w:val="0"/>
        <w:autoSpaceDN w:val="0"/>
        <w:adjustRightInd w:val="0"/>
        <w:rPr>
          <w:rFonts w:cs="Cambria"/>
          <w:bCs/>
          <w:sz w:val="28"/>
          <w:szCs w:val="28"/>
        </w:rPr>
      </w:pPr>
    </w:p>
    <w:p w14:paraId="689F67B3" w14:textId="77777777" w:rsidR="00B05534" w:rsidRDefault="00B05534" w:rsidP="00B05534">
      <w:pPr>
        <w:autoSpaceDE w:val="0"/>
        <w:autoSpaceDN w:val="0"/>
        <w:adjustRightInd w:val="0"/>
        <w:rPr>
          <w:rFonts w:cs="Cambria"/>
          <w:bCs/>
          <w:sz w:val="28"/>
          <w:szCs w:val="28"/>
        </w:rPr>
      </w:pPr>
    </w:p>
    <w:p w14:paraId="465A3982" w14:textId="77777777" w:rsidR="00B05534" w:rsidRPr="007F22D4" w:rsidRDefault="00B05534" w:rsidP="00B05534">
      <w:pPr>
        <w:autoSpaceDE w:val="0"/>
        <w:autoSpaceDN w:val="0"/>
        <w:adjustRightInd w:val="0"/>
        <w:rPr>
          <w:rFonts w:cs="Cambria"/>
          <w:b/>
          <w:bCs/>
          <w:sz w:val="32"/>
          <w:szCs w:val="32"/>
          <w:u w:val="single"/>
        </w:rPr>
      </w:pPr>
      <w:r>
        <w:rPr>
          <w:rFonts w:cs="Cambria"/>
          <w:b/>
          <w:bCs/>
          <w:sz w:val="28"/>
          <w:szCs w:val="28"/>
        </w:rPr>
        <w:t>2</w:t>
      </w:r>
      <w:r w:rsidRPr="007F22D4">
        <w:rPr>
          <w:rFonts w:cs="Cambria"/>
          <w:b/>
          <w:bCs/>
          <w:sz w:val="28"/>
          <w:szCs w:val="28"/>
        </w:rPr>
        <w:t>)</w:t>
      </w:r>
      <w:r>
        <w:rPr>
          <w:rFonts w:cs="Cambria"/>
          <w:bCs/>
          <w:sz w:val="28"/>
          <w:szCs w:val="28"/>
        </w:rPr>
        <w:t xml:space="preserve">  </w:t>
      </w:r>
      <w:r>
        <w:rPr>
          <w:rFonts w:cs="Cambria"/>
          <w:b/>
          <w:bCs/>
          <w:sz w:val="32"/>
          <w:szCs w:val="32"/>
          <w:u w:val="single"/>
        </w:rPr>
        <w:t>Les indicateurs du tableau de bord</w:t>
      </w:r>
    </w:p>
    <w:p w14:paraId="0E5D1742" w14:textId="77777777" w:rsidR="00B05534" w:rsidRDefault="00B05534" w:rsidP="00B05534">
      <w:pPr>
        <w:autoSpaceDE w:val="0"/>
        <w:autoSpaceDN w:val="0"/>
        <w:adjustRightInd w:val="0"/>
        <w:rPr>
          <w:rFonts w:cs="Cambria"/>
          <w:bCs/>
          <w:sz w:val="28"/>
          <w:szCs w:val="28"/>
        </w:rPr>
      </w:pPr>
    </w:p>
    <w:p w14:paraId="2451E917" w14:textId="77777777" w:rsidR="00B05534" w:rsidRDefault="00B05534" w:rsidP="00B05534">
      <w:pPr>
        <w:autoSpaceDE w:val="0"/>
        <w:autoSpaceDN w:val="0"/>
        <w:adjustRightInd w:val="0"/>
        <w:rPr>
          <w:rFonts w:cs="Cambria"/>
          <w:bCs/>
          <w:sz w:val="28"/>
          <w:szCs w:val="28"/>
        </w:rPr>
      </w:pPr>
    </w:p>
    <w:p w14:paraId="7567CDFA" w14:textId="77777777" w:rsidR="00B05534" w:rsidRDefault="00B05534" w:rsidP="00B05534">
      <w:pPr>
        <w:autoSpaceDE w:val="0"/>
        <w:autoSpaceDN w:val="0"/>
        <w:adjustRightInd w:val="0"/>
        <w:rPr>
          <w:rFonts w:cs="Cambria"/>
          <w:bCs/>
          <w:sz w:val="28"/>
          <w:szCs w:val="28"/>
        </w:rPr>
      </w:pPr>
      <w:r w:rsidRPr="007F22D4">
        <w:rPr>
          <w:rFonts w:cs="Cambria"/>
          <w:b/>
          <w:bCs/>
          <w:sz w:val="28"/>
          <w:szCs w:val="28"/>
          <w:u w:val="single"/>
        </w:rPr>
        <w:t>a)</w:t>
      </w:r>
      <w:r>
        <w:rPr>
          <w:rFonts w:cs="Cambria"/>
          <w:b/>
          <w:bCs/>
          <w:sz w:val="28"/>
          <w:szCs w:val="28"/>
          <w:u w:val="single"/>
        </w:rPr>
        <w:t xml:space="preserve"> Les étapes du choix</w:t>
      </w:r>
    </w:p>
    <w:p w14:paraId="2A55D99F" w14:textId="77777777" w:rsidR="00B05534" w:rsidRPr="007F22D4" w:rsidRDefault="00B05534" w:rsidP="00B05534">
      <w:pPr>
        <w:autoSpaceDE w:val="0"/>
        <w:autoSpaceDN w:val="0"/>
        <w:adjustRightInd w:val="0"/>
        <w:rPr>
          <w:rFonts w:cs="Cambria"/>
          <w:bCs/>
          <w:sz w:val="28"/>
          <w:szCs w:val="28"/>
        </w:rPr>
      </w:pPr>
    </w:p>
    <w:p w14:paraId="3A8A6E85" w14:textId="77777777" w:rsidR="00B05534" w:rsidRDefault="00B05534" w:rsidP="00B05534">
      <w:pPr>
        <w:autoSpaceDE w:val="0"/>
        <w:autoSpaceDN w:val="0"/>
        <w:adjustRightInd w:val="0"/>
        <w:rPr>
          <w:rFonts w:cs="Cambria"/>
          <w:bCs/>
          <w:sz w:val="28"/>
          <w:szCs w:val="28"/>
        </w:rPr>
      </w:pPr>
      <w:r>
        <w:rPr>
          <w:rFonts w:cs="Cambria"/>
          <w:bCs/>
          <w:sz w:val="28"/>
          <w:szCs w:val="28"/>
        </w:rPr>
        <w:t>Il s’agit de sélectionner un nombre suffisant d’indicateurs pour avoir une visibilité par parfaite. Les étapes en sont les suivantes :</w:t>
      </w:r>
    </w:p>
    <w:p w14:paraId="6BBEC246" w14:textId="77777777" w:rsidR="00B05534" w:rsidRDefault="00B05534" w:rsidP="00B05534">
      <w:pPr>
        <w:autoSpaceDE w:val="0"/>
        <w:autoSpaceDN w:val="0"/>
        <w:adjustRightInd w:val="0"/>
        <w:rPr>
          <w:rFonts w:cs="Cambria"/>
          <w:bCs/>
          <w:sz w:val="28"/>
          <w:szCs w:val="28"/>
        </w:rPr>
      </w:pPr>
    </w:p>
    <w:p w14:paraId="102FEF18" w14:textId="77777777" w:rsidR="00B05534" w:rsidRPr="001068FB" w:rsidRDefault="00EE5AFD" w:rsidP="00B05534">
      <w:pPr>
        <w:pStyle w:val="Paragraphedeliste"/>
        <w:numPr>
          <w:ilvl w:val="0"/>
          <w:numId w:val="5"/>
        </w:numPr>
        <w:autoSpaceDE w:val="0"/>
        <w:autoSpaceDN w:val="0"/>
        <w:adjustRightInd w:val="0"/>
        <w:rPr>
          <w:rFonts w:cs="Cambria"/>
          <w:bCs/>
          <w:sz w:val="28"/>
          <w:szCs w:val="28"/>
        </w:rPr>
      </w:pPr>
      <w:r>
        <w:rPr>
          <w:rFonts w:cs="Cambria"/>
          <w:bCs/>
          <w:sz w:val="28"/>
          <w:szCs w:val="28"/>
        </w:rPr>
        <w:t>Définir les UC</w:t>
      </w:r>
      <w:r w:rsidR="00B05534" w:rsidRPr="001068FB">
        <w:rPr>
          <w:rFonts w:cs="Cambria"/>
          <w:bCs/>
          <w:sz w:val="28"/>
          <w:szCs w:val="28"/>
        </w:rPr>
        <w:t xml:space="preserve"> devant faire l’objet d’un tableau de bord</w:t>
      </w:r>
    </w:p>
    <w:p w14:paraId="19F42258" w14:textId="77777777" w:rsidR="00B05534" w:rsidRPr="001068FB" w:rsidRDefault="00B05534" w:rsidP="00B05534">
      <w:pPr>
        <w:pStyle w:val="Paragraphedeliste"/>
        <w:numPr>
          <w:ilvl w:val="0"/>
          <w:numId w:val="5"/>
        </w:numPr>
        <w:autoSpaceDE w:val="0"/>
        <w:autoSpaceDN w:val="0"/>
        <w:adjustRightInd w:val="0"/>
        <w:rPr>
          <w:rFonts w:cs="Cambria"/>
          <w:bCs/>
          <w:sz w:val="28"/>
          <w:szCs w:val="28"/>
        </w:rPr>
      </w:pPr>
      <w:r w:rsidRPr="001068FB">
        <w:rPr>
          <w:rFonts w:cs="Cambria"/>
          <w:bCs/>
          <w:sz w:val="28"/>
          <w:szCs w:val="28"/>
        </w:rPr>
        <w:t>Identifier leurs missions, leurs objectifs, leurs moyens, les performances attendues</w:t>
      </w:r>
    </w:p>
    <w:p w14:paraId="45D64D67" w14:textId="77777777" w:rsidR="00B05534" w:rsidRPr="001068FB" w:rsidRDefault="00B05534" w:rsidP="00B05534">
      <w:pPr>
        <w:pStyle w:val="Paragraphedeliste"/>
        <w:numPr>
          <w:ilvl w:val="0"/>
          <w:numId w:val="5"/>
        </w:numPr>
        <w:autoSpaceDE w:val="0"/>
        <w:autoSpaceDN w:val="0"/>
        <w:adjustRightInd w:val="0"/>
        <w:rPr>
          <w:rFonts w:cs="Cambria"/>
          <w:bCs/>
          <w:sz w:val="28"/>
          <w:szCs w:val="28"/>
        </w:rPr>
      </w:pPr>
      <w:r w:rsidRPr="001068FB">
        <w:rPr>
          <w:rFonts w:cs="Cambria"/>
          <w:bCs/>
          <w:sz w:val="28"/>
          <w:szCs w:val="28"/>
        </w:rPr>
        <w:t>Rechercher les indicateurs possibles</w:t>
      </w:r>
    </w:p>
    <w:p w14:paraId="4964548A" w14:textId="77777777" w:rsidR="00B05534" w:rsidRPr="001068FB" w:rsidRDefault="00B05534" w:rsidP="00B05534">
      <w:pPr>
        <w:pStyle w:val="Paragraphedeliste"/>
        <w:numPr>
          <w:ilvl w:val="0"/>
          <w:numId w:val="5"/>
        </w:numPr>
        <w:autoSpaceDE w:val="0"/>
        <w:autoSpaceDN w:val="0"/>
        <w:adjustRightInd w:val="0"/>
        <w:rPr>
          <w:rFonts w:cs="Cambria"/>
          <w:bCs/>
          <w:sz w:val="28"/>
          <w:szCs w:val="28"/>
        </w:rPr>
      </w:pPr>
      <w:r w:rsidRPr="001068FB">
        <w:rPr>
          <w:rFonts w:cs="Cambria"/>
          <w:bCs/>
          <w:sz w:val="28"/>
          <w:szCs w:val="28"/>
        </w:rPr>
        <w:t>Sélectionner les indicateurs significatifs en se centrant sur les axes importants</w:t>
      </w:r>
    </w:p>
    <w:p w14:paraId="290C1018" w14:textId="77777777" w:rsidR="00B05534" w:rsidRDefault="00B05534" w:rsidP="00B05534">
      <w:pPr>
        <w:pStyle w:val="Paragraphedeliste"/>
        <w:numPr>
          <w:ilvl w:val="0"/>
          <w:numId w:val="5"/>
        </w:numPr>
        <w:autoSpaceDE w:val="0"/>
        <w:autoSpaceDN w:val="0"/>
        <w:adjustRightInd w:val="0"/>
        <w:rPr>
          <w:rFonts w:cs="Cambria"/>
          <w:bCs/>
          <w:sz w:val="28"/>
          <w:szCs w:val="28"/>
        </w:rPr>
      </w:pPr>
      <w:r w:rsidRPr="001068FB">
        <w:rPr>
          <w:rFonts w:cs="Cambria"/>
          <w:bCs/>
          <w:sz w:val="28"/>
          <w:szCs w:val="28"/>
        </w:rPr>
        <w:t>Vérifier la cohérence des indicateurs entre les différends tableaux de bord</w:t>
      </w:r>
    </w:p>
    <w:p w14:paraId="4ED23A04" w14:textId="77777777" w:rsidR="00B05534" w:rsidRDefault="00B05534" w:rsidP="00B05534">
      <w:pPr>
        <w:autoSpaceDE w:val="0"/>
        <w:autoSpaceDN w:val="0"/>
        <w:adjustRightInd w:val="0"/>
        <w:rPr>
          <w:rFonts w:cs="Cambria"/>
          <w:bCs/>
          <w:sz w:val="28"/>
          <w:szCs w:val="28"/>
        </w:rPr>
      </w:pPr>
    </w:p>
    <w:p w14:paraId="7208885D" w14:textId="77777777" w:rsidR="00B05534" w:rsidRDefault="00B05534" w:rsidP="00B05534">
      <w:pPr>
        <w:autoSpaceDE w:val="0"/>
        <w:autoSpaceDN w:val="0"/>
        <w:adjustRightInd w:val="0"/>
        <w:rPr>
          <w:rFonts w:cs="Cambria"/>
          <w:bCs/>
          <w:sz w:val="28"/>
          <w:szCs w:val="28"/>
        </w:rPr>
      </w:pPr>
    </w:p>
    <w:p w14:paraId="4C643A9D" w14:textId="77777777" w:rsidR="00B05534" w:rsidRDefault="00B05534" w:rsidP="00B05534">
      <w:pPr>
        <w:autoSpaceDE w:val="0"/>
        <w:autoSpaceDN w:val="0"/>
        <w:adjustRightInd w:val="0"/>
        <w:rPr>
          <w:rFonts w:cs="Cambria"/>
          <w:b/>
          <w:bCs/>
          <w:sz w:val="28"/>
          <w:szCs w:val="28"/>
          <w:u w:val="single"/>
        </w:rPr>
      </w:pPr>
      <w:r>
        <w:rPr>
          <w:rFonts w:cs="Cambria"/>
          <w:b/>
          <w:bCs/>
          <w:sz w:val="28"/>
          <w:szCs w:val="28"/>
          <w:u w:val="single"/>
        </w:rPr>
        <w:t>b</w:t>
      </w:r>
      <w:r w:rsidRPr="007F22D4">
        <w:rPr>
          <w:rFonts w:cs="Cambria"/>
          <w:b/>
          <w:bCs/>
          <w:sz w:val="28"/>
          <w:szCs w:val="28"/>
          <w:u w:val="single"/>
        </w:rPr>
        <w:t>)</w:t>
      </w:r>
      <w:r>
        <w:rPr>
          <w:rFonts w:cs="Cambria"/>
          <w:b/>
          <w:bCs/>
          <w:sz w:val="28"/>
          <w:szCs w:val="28"/>
          <w:u w:val="single"/>
        </w:rPr>
        <w:t xml:space="preserve"> La variété des indicateurs</w:t>
      </w:r>
    </w:p>
    <w:p w14:paraId="3C29895A" w14:textId="77777777" w:rsidR="00B05534" w:rsidRDefault="00B05534" w:rsidP="00B05534">
      <w:pPr>
        <w:autoSpaceDE w:val="0"/>
        <w:autoSpaceDN w:val="0"/>
        <w:adjustRightInd w:val="0"/>
        <w:rPr>
          <w:rFonts w:cs="Cambria"/>
          <w:b/>
          <w:bCs/>
          <w:sz w:val="28"/>
          <w:szCs w:val="28"/>
          <w:u w:val="single"/>
        </w:rPr>
      </w:pPr>
    </w:p>
    <w:p w14:paraId="20872640" w14:textId="77777777" w:rsidR="00B05534" w:rsidRDefault="00B05534" w:rsidP="00B05534">
      <w:pPr>
        <w:autoSpaceDE w:val="0"/>
        <w:autoSpaceDN w:val="0"/>
        <w:adjustRightInd w:val="0"/>
        <w:rPr>
          <w:rFonts w:cs="Cambria"/>
          <w:bCs/>
          <w:sz w:val="28"/>
          <w:szCs w:val="28"/>
        </w:rPr>
      </w:pPr>
      <w:r>
        <w:rPr>
          <w:rFonts w:cs="Cambria"/>
          <w:bCs/>
          <w:sz w:val="28"/>
          <w:szCs w:val="28"/>
        </w:rPr>
        <w:t>Il y a 3 variétés d’indicateurs :</w:t>
      </w:r>
    </w:p>
    <w:p w14:paraId="7BD335F2" w14:textId="77777777" w:rsidR="00B05534" w:rsidRDefault="00B05534" w:rsidP="00B05534">
      <w:pPr>
        <w:autoSpaceDE w:val="0"/>
        <w:autoSpaceDN w:val="0"/>
        <w:adjustRightInd w:val="0"/>
        <w:rPr>
          <w:rFonts w:cs="Cambria"/>
          <w:bCs/>
          <w:sz w:val="28"/>
          <w:szCs w:val="28"/>
        </w:rPr>
      </w:pPr>
    </w:p>
    <w:p w14:paraId="70C976CD" w14:textId="77777777" w:rsidR="00B05534" w:rsidRPr="001068FB" w:rsidRDefault="00B05534" w:rsidP="00B05534">
      <w:pPr>
        <w:pStyle w:val="Paragraphedeliste"/>
        <w:numPr>
          <w:ilvl w:val="0"/>
          <w:numId w:val="6"/>
        </w:numPr>
        <w:autoSpaceDE w:val="0"/>
        <w:autoSpaceDN w:val="0"/>
        <w:adjustRightInd w:val="0"/>
        <w:rPr>
          <w:rFonts w:cs="Cambria"/>
          <w:bCs/>
          <w:sz w:val="28"/>
          <w:szCs w:val="28"/>
        </w:rPr>
      </w:pPr>
      <w:r w:rsidRPr="001068FB">
        <w:rPr>
          <w:rFonts w:cs="Cambria"/>
          <w:bCs/>
          <w:sz w:val="28"/>
          <w:szCs w:val="28"/>
        </w:rPr>
        <w:t xml:space="preserve">Les indicateurs </w:t>
      </w:r>
      <w:r w:rsidRPr="001068FB">
        <w:rPr>
          <w:rFonts w:cs="Cambria"/>
          <w:bCs/>
          <w:sz w:val="28"/>
          <w:szCs w:val="28"/>
          <w:u w:val="single"/>
        </w:rPr>
        <w:t>d’objectifs</w:t>
      </w:r>
      <w:r w:rsidRPr="001068FB">
        <w:rPr>
          <w:rFonts w:cs="Cambria"/>
          <w:bCs/>
          <w:sz w:val="28"/>
          <w:szCs w:val="28"/>
        </w:rPr>
        <w:t xml:space="preserve"> qui permettent d’évaluer leur degré d’atteinte</w:t>
      </w:r>
    </w:p>
    <w:p w14:paraId="7BDF9A45" w14:textId="77777777" w:rsidR="00B05534" w:rsidRPr="001068FB" w:rsidRDefault="00B05534" w:rsidP="00B05534">
      <w:pPr>
        <w:pStyle w:val="Paragraphedeliste"/>
        <w:numPr>
          <w:ilvl w:val="0"/>
          <w:numId w:val="6"/>
        </w:numPr>
        <w:autoSpaceDE w:val="0"/>
        <w:autoSpaceDN w:val="0"/>
        <w:adjustRightInd w:val="0"/>
        <w:rPr>
          <w:rFonts w:cs="Cambria"/>
          <w:bCs/>
          <w:sz w:val="28"/>
          <w:szCs w:val="28"/>
        </w:rPr>
      </w:pPr>
      <w:r w:rsidRPr="001068FB">
        <w:rPr>
          <w:rFonts w:cs="Cambria"/>
          <w:bCs/>
          <w:sz w:val="28"/>
          <w:szCs w:val="28"/>
        </w:rPr>
        <w:t xml:space="preserve">Les indicateurs </w:t>
      </w:r>
      <w:r w:rsidRPr="001068FB">
        <w:rPr>
          <w:rFonts w:cs="Cambria"/>
          <w:bCs/>
          <w:sz w:val="28"/>
          <w:szCs w:val="28"/>
          <w:u w:val="single"/>
        </w:rPr>
        <w:t xml:space="preserve">de moyens </w:t>
      </w:r>
      <w:r w:rsidRPr="001068FB">
        <w:rPr>
          <w:rFonts w:cs="Cambria"/>
          <w:bCs/>
          <w:sz w:val="28"/>
          <w:szCs w:val="28"/>
        </w:rPr>
        <w:t>qui indiquent le degré de consommation des ressources</w:t>
      </w:r>
      <w:r>
        <w:rPr>
          <w:rFonts w:cs="Cambria"/>
          <w:bCs/>
          <w:sz w:val="28"/>
          <w:szCs w:val="28"/>
        </w:rPr>
        <w:t xml:space="preserve"> </w:t>
      </w:r>
      <w:r w:rsidRPr="001068FB">
        <w:rPr>
          <w:rFonts w:cs="Cambria"/>
          <w:bCs/>
          <w:sz w:val="28"/>
          <w:szCs w:val="28"/>
        </w:rPr>
        <w:t>lors de la mise en œuvre des plans d’action</w:t>
      </w:r>
    </w:p>
    <w:p w14:paraId="4C2E3663" w14:textId="77777777" w:rsidR="00B05534" w:rsidRPr="001068FB" w:rsidRDefault="00B05534" w:rsidP="00B05534">
      <w:pPr>
        <w:pStyle w:val="Paragraphedeliste"/>
        <w:numPr>
          <w:ilvl w:val="0"/>
          <w:numId w:val="6"/>
        </w:numPr>
        <w:autoSpaceDE w:val="0"/>
        <w:autoSpaceDN w:val="0"/>
        <w:adjustRightInd w:val="0"/>
        <w:rPr>
          <w:rFonts w:cs="Cambria"/>
          <w:bCs/>
          <w:sz w:val="28"/>
          <w:szCs w:val="28"/>
        </w:rPr>
      </w:pPr>
      <w:r w:rsidRPr="001068FB">
        <w:rPr>
          <w:rFonts w:cs="Cambria"/>
          <w:bCs/>
          <w:sz w:val="28"/>
          <w:szCs w:val="28"/>
        </w:rPr>
        <w:t xml:space="preserve">Les indicateurs </w:t>
      </w:r>
      <w:r w:rsidRPr="001068FB">
        <w:rPr>
          <w:rFonts w:cs="Cambria"/>
          <w:bCs/>
          <w:sz w:val="28"/>
          <w:szCs w:val="28"/>
          <w:u w:val="single"/>
        </w:rPr>
        <w:t>d’actions</w:t>
      </w:r>
      <w:r w:rsidRPr="001068FB">
        <w:rPr>
          <w:rFonts w:cs="Cambria"/>
          <w:bCs/>
          <w:sz w:val="28"/>
          <w:szCs w:val="28"/>
        </w:rPr>
        <w:t xml:space="preserve"> qui permettent de suivre la réalisation des actions prioritaires</w:t>
      </w:r>
      <w:r>
        <w:rPr>
          <w:rFonts w:cs="Cambria"/>
          <w:bCs/>
          <w:sz w:val="28"/>
          <w:szCs w:val="28"/>
        </w:rPr>
        <w:t xml:space="preserve"> d</w:t>
      </w:r>
      <w:r w:rsidRPr="001068FB">
        <w:rPr>
          <w:rFonts w:cs="Cambria"/>
          <w:bCs/>
          <w:sz w:val="28"/>
          <w:szCs w:val="28"/>
        </w:rPr>
        <w:t>éfinies au niveau de l’unité.</w:t>
      </w:r>
    </w:p>
    <w:p w14:paraId="23E94E68" w14:textId="77777777" w:rsidR="00B05534" w:rsidRDefault="00B05534" w:rsidP="00B05534">
      <w:pPr>
        <w:autoSpaceDE w:val="0"/>
        <w:autoSpaceDN w:val="0"/>
        <w:adjustRightInd w:val="0"/>
        <w:rPr>
          <w:rFonts w:cs="Cambria"/>
          <w:bCs/>
          <w:sz w:val="28"/>
          <w:szCs w:val="28"/>
        </w:rPr>
      </w:pPr>
    </w:p>
    <w:p w14:paraId="4871A879" w14:textId="77777777" w:rsidR="00B05534" w:rsidRDefault="00B05534" w:rsidP="00B05534">
      <w:pPr>
        <w:autoSpaceDE w:val="0"/>
        <w:autoSpaceDN w:val="0"/>
        <w:adjustRightInd w:val="0"/>
        <w:rPr>
          <w:rFonts w:cs="Cambria"/>
          <w:bCs/>
          <w:sz w:val="28"/>
          <w:szCs w:val="28"/>
        </w:rPr>
      </w:pPr>
    </w:p>
    <w:p w14:paraId="4B5908BE" w14:textId="77777777" w:rsidR="00B05534" w:rsidRDefault="00B05534" w:rsidP="00B05534">
      <w:pPr>
        <w:autoSpaceDE w:val="0"/>
        <w:autoSpaceDN w:val="0"/>
        <w:adjustRightInd w:val="0"/>
        <w:rPr>
          <w:rFonts w:cs="Cambria"/>
          <w:bCs/>
          <w:sz w:val="28"/>
          <w:szCs w:val="28"/>
        </w:rPr>
      </w:pPr>
    </w:p>
    <w:p w14:paraId="31B1323F" w14:textId="77777777" w:rsidR="00B05534" w:rsidRDefault="00B05534" w:rsidP="00B05534">
      <w:pPr>
        <w:autoSpaceDE w:val="0"/>
        <w:autoSpaceDN w:val="0"/>
        <w:adjustRightInd w:val="0"/>
        <w:rPr>
          <w:rFonts w:cs="Cambria"/>
          <w:bCs/>
          <w:sz w:val="28"/>
          <w:szCs w:val="28"/>
        </w:rPr>
      </w:pPr>
    </w:p>
    <w:p w14:paraId="75E170D4" w14:textId="77777777" w:rsidR="00B05534" w:rsidRDefault="00B05534" w:rsidP="00B05534">
      <w:pPr>
        <w:autoSpaceDE w:val="0"/>
        <w:autoSpaceDN w:val="0"/>
        <w:adjustRightInd w:val="0"/>
        <w:rPr>
          <w:rFonts w:cs="Cambria"/>
          <w:bCs/>
          <w:sz w:val="28"/>
          <w:szCs w:val="28"/>
        </w:rPr>
      </w:pPr>
      <w:r>
        <w:rPr>
          <w:rFonts w:cs="Cambria"/>
          <w:bCs/>
          <w:sz w:val="28"/>
          <w:szCs w:val="28"/>
        </w:rPr>
        <w:lastRenderedPageBreak/>
        <w:t>Exemple : lancement d’un nouveau produit destiné à une clientèle haut de gamme.</w:t>
      </w:r>
    </w:p>
    <w:p w14:paraId="64B25BF7" w14:textId="77777777" w:rsidR="00B05534" w:rsidRDefault="00B05534" w:rsidP="00B05534">
      <w:pPr>
        <w:autoSpaceDE w:val="0"/>
        <w:autoSpaceDN w:val="0"/>
        <w:adjustRightInd w:val="0"/>
        <w:rPr>
          <w:rFonts w:cs="Cambria"/>
          <w:bCs/>
          <w:sz w:val="28"/>
          <w:szCs w:val="28"/>
        </w:rPr>
      </w:pPr>
    </w:p>
    <w:tbl>
      <w:tblPr>
        <w:tblStyle w:val="Grilledutableau"/>
        <w:tblW w:w="0" w:type="auto"/>
        <w:tblLook w:val="04A0" w:firstRow="1" w:lastRow="0" w:firstColumn="1" w:lastColumn="0" w:noHBand="0" w:noVBand="1"/>
      </w:tblPr>
      <w:tblGrid>
        <w:gridCol w:w="4483"/>
        <w:gridCol w:w="4577"/>
      </w:tblGrid>
      <w:tr w:rsidR="00B05534" w14:paraId="7B7C8524" w14:textId="77777777" w:rsidTr="00DD1A42">
        <w:tc>
          <w:tcPr>
            <w:tcW w:w="5084" w:type="dxa"/>
            <w:shd w:val="clear" w:color="auto" w:fill="FFFF00"/>
          </w:tcPr>
          <w:p w14:paraId="297F02C0" w14:textId="77777777" w:rsidR="00B05534" w:rsidRPr="002312E3" w:rsidRDefault="00B05534" w:rsidP="00DD1A42">
            <w:pPr>
              <w:autoSpaceDE w:val="0"/>
              <w:autoSpaceDN w:val="0"/>
              <w:adjustRightInd w:val="0"/>
              <w:jc w:val="center"/>
              <w:rPr>
                <w:rFonts w:cs="Cambria"/>
                <w:b/>
                <w:bCs/>
                <w:sz w:val="28"/>
                <w:szCs w:val="28"/>
              </w:rPr>
            </w:pPr>
            <w:r w:rsidRPr="002312E3">
              <w:rPr>
                <w:rFonts w:cs="Cambria"/>
                <w:b/>
                <w:bCs/>
                <w:sz w:val="28"/>
                <w:szCs w:val="28"/>
              </w:rPr>
              <w:t>Indicateurs</w:t>
            </w:r>
          </w:p>
        </w:tc>
        <w:tc>
          <w:tcPr>
            <w:tcW w:w="5085" w:type="dxa"/>
            <w:shd w:val="clear" w:color="auto" w:fill="FFFF00"/>
          </w:tcPr>
          <w:p w14:paraId="0899486F" w14:textId="77777777" w:rsidR="00B05534" w:rsidRPr="002312E3" w:rsidRDefault="00B05534" w:rsidP="00DD1A42">
            <w:pPr>
              <w:autoSpaceDE w:val="0"/>
              <w:autoSpaceDN w:val="0"/>
              <w:adjustRightInd w:val="0"/>
              <w:jc w:val="center"/>
              <w:rPr>
                <w:rFonts w:cs="Cambria"/>
                <w:b/>
                <w:bCs/>
                <w:sz w:val="28"/>
                <w:szCs w:val="28"/>
              </w:rPr>
            </w:pPr>
            <w:r w:rsidRPr="002312E3">
              <w:rPr>
                <w:rFonts w:cs="Cambria"/>
                <w:b/>
                <w:bCs/>
                <w:sz w:val="28"/>
                <w:szCs w:val="28"/>
              </w:rPr>
              <w:t>Eléments</w:t>
            </w:r>
          </w:p>
        </w:tc>
      </w:tr>
      <w:tr w:rsidR="00B05534" w14:paraId="11118C8E" w14:textId="77777777" w:rsidTr="00DD1A42">
        <w:tc>
          <w:tcPr>
            <w:tcW w:w="5084" w:type="dxa"/>
          </w:tcPr>
          <w:p w14:paraId="730CA678" w14:textId="77777777" w:rsidR="00B05534" w:rsidRPr="008474EB" w:rsidRDefault="00B05534" w:rsidP="00DD1A42">
            <w:pPr>
              <w:autoSpaceDE w:val="0"/>
              <w:autoSpaceDN w:val="0"/>
              <w:adjustRightInd w:val="0"/>
              <w:rPr>
                <w:rFonts w:cs="Cambria"/>
                <w:b/>
                <w:bCs/>
                <w:sz w:val="28"/>
                <w:szCs w:val="28"/>
              </w:rPr>
            </w:pPr>
            <w:r w:rsidRPr="008474EB">
              <w:rPr>
                <w:rFonts w:cs="Cambria"/>
                <w:b/>
                <w:bCs/>
                <w:sz w:val="28"/>
                <w:szCs w:val="28"/>
              </w:rPr>
              <w:t>Indicateur d’objectif</w:t>
            </w:r>
          </w:p>
        </w:tc>
        <w:tc>
          <w:tcPr>
            <w:tcW w:w="5085" w:type="dxa"/>
          </w:tcPr>
          <w:p w14:paraId="475B351E" w14:textId="77777777" w:rsidR="00B05534" w:rsidRDefault="00B05534" w:rsidP="00DD1A42">
            <w:pPr>
              <w:autoSpaceDE w:val="0"/>
              <w:autoSpaceDN w:val="0"/>
              <w:adjustRightInd w:val="0"/>
              <w:rPr>
                <w:rFonts w:cs="Cambria"/>
                <w:bCs/>
                <w:sz w:val="28"/>
                <w:szCs w:val="28"/>
              </w:rPr>
            </w:pPr>
            <w:r>
              <w:rPr>
                <w:rFonts w:cs="Cambria"/>
                <w:bCs/>
                <w:sz w:val="28"/>
                <w:szCs w:val="28"/>
              </w:rPr>
              <w:t>Nombre de ventes et taux de réalisation (nombre de personnes ayant passé commande du nouveau produit/nombre de clients invités à la réunion</w:t>
            </w:r>
          </w:p>
        </w:tc>
      </w:tr>
      <w:tr w:rsidR="00B05534" w14:paraId="39F0C09B" w14:textId="77777777" w:rsidTr="00DD1A42">
        <w:tc>
          <w:tcPr>
            <w:tcW w:w="5084" w:type="dxa"/>
          </w:tcPr>
          <w:p w14:paraId="6949D017" w14:textId="77777777" w:rsidR="00B05534" w:rsidRPr="008474EB" w:rsidRDefault="00B05534" w:rsidP="00DD1A42">
            <w:pPr>
              <w:autoSpaceDE w:val="0"/>
              <w:autoSpaceDN w:val="0"/>
              <w:adjustRightInd w:val="0"/>
              <w:rPr>
                <w:rFonts w:cs="Cambria"/>
                <w:b/>
                <w:bCs/>
                <w:sz w:val="28"/>
                <w:szCs w:val="28"/>
              </w:rPr>
            </w:pPr>
            <w:r w:rsidRPr="008474EB">
              <w:rPr>
                <w:rFonts w:cs="Cambria"/>
                <w:b/>
                <w:bCs/>
                <w:sz w:val="28"/>
                <w:szCs w:val="28"/>
              </w:rPr>
              <w:t>Indicateur d’action</w:t>
            </w:r>
          </w:p>
        </w:tc>
        <w:tc>
          <w:tcPr>
            <w:tcW w:w="5085" w:type="dxa"/>
          </w:tcPr>
          <w:p w14:paraId="4FC0FE83" w14:textId="77777777" w:rsidR="00B05534" w:rsidRDefault="00B05534" w:rsidP="00DD1A42">
            <w:pPr>
              <w:autoSpaceDE w:val="0"/>
              <w:autoSpaceDN w:val="0"/>
              <w:adjustRightInd w:val="0"/>
              <w:rPr>
                <w:rFonts w:cs="Cambria"/>
                <w:bCs/>
                <w:sz w:val="28"/>
                <w:szCs w:val="28"/>
              </w:rPr>
            </w:pPr>
            <w:r>
              <w:rPr>
                <w:rFonts w:cs="Cambria"/>
                <w:bCs/>
                <w:sz w:val="28"/>
                <w:szCs w:val="28"/>
              </w:rPr>
              <w:t>Avancement du projet au travers du plan d’action</w:t>
            </w:r>
          </w:p>
        </w:tc>
      </w:tr>
      <w:tr w:rsidR="00B05534" w14:paraId="00618086" w14:textId="77777777" w:rsidTr="00DD1A42">
        <w:tc>
          <w:tcPr>
            <w:tcW w:w="5084" w:type="dxa"/>
          </w:tcPr>
          <w:p w14:paraId="6419CC0E" w14:textId="77777777" w:rsidR="00B05534" w:rsidRPr="008474EB" w:rsidRDefault="00B05534" w:rsidP="00DD1A42">
            <w:pPr>
              <w:autoSpaceDE w:val="0"/>
              <w:autoSpaceDN w:val="0"/>
              <w:adjustRightInd w:val="0"/>
              <w:rPr>
                <w:rFonts w:cs="Cambria"/>
                <w:b/>
                <w:bCs/>
                <w:sz w:val="28"/>
                <w:szCs w:val="28"/>
              </w:rPr>
            </w:pPr>
            <w:r w:rsidRPr="008474EB">
              <w:rPr>
                <w:rFonts w:cs="Cambria"/>
                <w:b/>
                <w:bCs/>
                <w:sz w:val="28"/>
                <w:szCs w:val="28"/>
              </w:rPr>
              <w:t>Indicateur de moyen</w:t>
            </w:r>
          </w:p>
        </w:tc>
        <w:tc>
          <w:tcPr>
            <w:tcW w:w="5085" w:type="dxa"/>
          </w:tcPr>
          <w:p w14:paraId="4CB61571" w14:textId="77777777" w:rsidR="00B05534" w:rsidRDefault="00B05534" w:rsidP="00DD1A42">
            <w:pPr>
              <w:autoSpaceDE w:val="0"/>
              <w:autoSpaceDN w:val="0"/>
              <w:adjustRightInd w:val="0"/>
              <w:rPr>
                <w:rFonts w:cs="Cambria"/>
                <w:bCs/>
                <w:sz w:val="28"/>
                <w:szCs w:val="28"/>
              </w:rPr>
            </w:pPr>
            <w:r>
              <w:rPr>
                <w:rFonts w:cs="Cambria"/>
                <w:bCs/>
                <w:sz w:val="28"/>
                <w:szCs w:val="28"/>
              </w:rPr>
              <w:t>Suivi du budget alloué</w:t>
            </w:r>
          </w:p>
        </w:tc>
      </w:tr>
    </w:tbl>
    <w:p w14:paraId="378C3A72" w14:textId="77777777" w:rsidR="00B05534" w:rsidRDefault="00B05534" w:rsidP="00B05534">
      <w:pPr>
        <w:autoSpaceDE w:val="0"/>
        <w:autoSpaceDN w:val="0"/>
        <w:adjustRightInd w:val="0"/>
        <w:rPr>
          <w:rFonts w:cs="Cambria"/>
          <w:bCs/>
          <w:sz w:val="28"/>
          <w:szCs w:val="28"/>
        </w:rPr>
      </w:pPr>
    </w:p>
    <w:p w14:paraId="19AAEFE0" w14:textId="77777777" w:rsidR="00B05534" w:rsidRPr="008474EB" w:rsidRDefault="00B05534" w:rsidP="00B05534">
      <w:pPr>
        <w:autoSpaceDE w:val="0"/>
        <w:autoSpaceDN w:val="0"/>
        <w:adjustRightInd w:val="0"/>
        <w:rPr>
          <w:rFonts w:cs="Cambria"/>
          <w:b/>
          <w:bCs/>
          <w:sz w:val="28"/>
          <w:szCs w:val="28"/>
        </w:rPr>
      </w:pPr>
      <w:r w:rsidRPr="008474EB">
        <w:rPr>
          <w:rFonts w:cs="Cambria"/>
          <w:b/>
          <w:bCs/>
          <w:sz w:val="28"/>
          <w:szCs w:val="28"/>
        </w:rPr>
        <w:t>Les 7 facteurs de performance</w:t>
      </w:r>
      <w:r>
        <w:rPr>
          <w:rFonts w:cs="Cambria"/>
          <w:b/>
          <w:bCs/>
          <w:sz w:val="28"/>
          <w:szCs w:val="28"/>
        </w:rPr>
        <w:t> :</w:t>
      </w:r>
    </w:p>
    <w:tbl>
      <w:tblPr>
        <w:tblStyle w:val="Grilledutableau"/>
        <w:tblW w:w="0" w:type="auto"/>
        <w:tblLook w:val="04A0" w:firstRow="1" w:lastRow="0" w:firstColumn="1" w:lastColumn="0" w:noHBand="0" w:noVBand="1"/>
      </w:tblPr>
      <w:tblGrid>
        <w:gridCol w:w="2726"/>
        <w:gridCol w:w="3275"/>
        <w:gridCol w:w="3059"/>
      </w:tblGrid>
      <w:tr w:rsidR="00B05534" w14:paraId="3A8A7517" w14:textId="77777777" w:rsidTr="00DD1A42">
        <w:trPr>
          <w:trHeight w:val="263"/>
        </w:trPr>
        <w:tc>
          <w:tcPr>
            <w:tcW w:w="3085" w:type="dxa"/>
          </w:tcPr>
          <w:p w14:paraId="4DC118AD" w14:textId="77777777" w:rsidR="00B05534" w:rsidRDefault="00B05534" w:rsidP="00DD1A42">
            <w:pPr>
              <w:autoSpaceDE w:val="0"/>
              <w:autoSpaceDN w:val="0"/>
              <w:adjustRightInd w:val="0"/>
              <w:rPr>
                <w:rFonts w:cs="Cambria"/>
                <w:bCs/>
                <w:sz w:val="28"/>
                <w:szCs w:val="28"/>
              </w:rPr>
            </w:pPr>
          </w:p>
        </w:tc>
        <w:tc>
          <w:tcPr>
            <w:tcW w:w="3694" w:type="dxa"/>
            <w:shd w:val="clear" w:color="auto" w:fill="FFFF00"/>
          </w:tcPr>
          <w:p w14:paraId="03DC7673" w14:textId="77777777" w:rsidR="00B05534" w:rsidRPr="008474EB" w:rsidRDefault="00B05534" w:rsidP="00DD1A42">
            <w:pPr>
              <w:autoSpaceDE w:val="0"/>
              <w:autoSpaceDN w:val="0"/>
              <w:adjustRightInd w:val="0"/>
              <w:jc w:val="center"/>
              <w:rPr>
                <w:rFonts w:cs="Cambria"/>
                <w:b/>
                <w:bCs/>
                <w:sz w:val="28"/>
                <w:szCs w:val="28"/>
              </w:rPr>
            </w:pPr>
            <w:r w:rsidRPr="008474EB">
              <w:rPr>
                <w:rFonts w:cs="Cambria"/>
                <w:b/>
                <w:bCs/>
                <w:sz w:val="28"/>
                <w:szCs w:val="28"/>
              </w:rPr>
              <w:t>Explications</w:t>
            </w:r>
          </w:p>
        </w:tc>
        <w:tc>
          <w:tcPr>
            <w:tcW w:w="3390" w:type="dxa"/>
            <w:shd w:val="clear" w:color="auto" w:fill="FFFF00"/>
          </w:tcPr>
          <w:p w14:paraId="3BB8C5D6" w14:textId="77777777" w:rsidR="00B05534" w:rsidRPr="008474EB" w:rsidRDefault="00B05534" w:rsidP="00DD1A42">
            <w:pPr>
              <w:autoSpaceDE w:val="0"/>
              <w:autoSpaceDN w:val="0"/>
              <w:adjustRightInd w:val="0"/>
              <w:jc w:val="center"/>
              <w:rPr>
                <w:rFonts w:cs="Cambria"/>
                <w:b/>
                <w:bCs/>
                <w:sz w:val="28"/>
                <w:szCs w:val="28"/>
              </w:rPr>
            </w:pPr>
            <w:r w:rsidRPr="008474EB">
              <w:rPr>
                <w:rFonts w:cs="Cambria"/>
                <w:b/>
                <w:bCs/>
                <w:sz w:val="28"/>
                <w:szCs w:val="28"/>
              </w:rPr>
              <w:t>Exemples</w:t>
            </w:r>
          </w:p>
        </w:tc>
      </w:tr>
      <w:tr w:rsidR="00B05534" w14:paraId="61D2B650" w14:textId="77777777" w:rsidTr="00DD1A42">
        <w:tc>
          <w:tcPr>
            <w:tcW w:w="3085" w:type="dxa"/>
          </w:tcPr>
          <w:p w14:paraId="6CBABEBB" w14:textId="77777777" w:rsidR="00B05534" w:rsidRDefault="00B05534" w:rsidP="00DD1A42">
            <w:pPr>
              <w:autoSpaceDE w:val="0"/>
              <w:autoSpaceDN w:val="0"/>
              <w:adjustRightInd w:val="0"/>
              <w:rPr>
                <w:rFonts w:cs="Cambria"/>
                <w:bCs/>
                <w:sz w:val="28"/>
                <w:szCs w:val="28"/>
              </w:rPr>
            </w:pPr>
            <w:r>
              <w:rPr>
                <w:rFonts w:cs="Cambria"/>
                <w:bCs/>
                <w:sz w:val="28"/>
                <w:szCs w:val="28"/>
              </w:rPr>
              <w:t>Le coût</w:t>
            </w:r>
          </w:p>
        </w:tc>
        <w:tc>
          <w:tcPr>
            <w:tcW w:w="3694" w:type="dxa"/>
          </w:tcPr>
          <w:p w14:paraId="533401CC" w14:textId="77777777" w:rsidR="00B05534" w:rsidRPr="00D807AD" w:rsidRDefault="00B05534" w:rsidP="00DD1A42">
            <w:pPr>
              <w:autoSpaceDE w:val="0"/>
              <w:autoSpaceDN w:val="0"/>
              <w:adjustRightInd w:val="0"/>
              <w:rPr>
                <w:rFonts w:cs="Cambria"/>
                <w:bCs/>
              </w:rPr>
            </w:pPr>
            <w:r w:rsidRPr="00D807AD">
              <w:rPr>
                <w:rFonts w:cs="Cambria"/>
                <w:bCs/>
              </w:rPr>
              <w:t>Dépenses engagées</w:t>
            </w:r>
            <w:r>
              <w:rPr>
                <w:rFonts w:cs="Cambria"/>
                <w:bCs/>
              </w:rPr>
              <w:t>, coût des ressources</w:t>
            </w:r>
          </w:p>
        </w:tc>
        <w:tc>
          <w:tcPr>
            <w:tcW w:w="3390" w:type="dxa"/>
          </w:tcPr>
          <w:p w14:paraId="0D35BE50" w14:textId="77777777" w:rsidR="00B05534" w:rsidRPr="00D807AD" w:rsidRDefault="00B05534" w:rsidP="00DD1A42">
            <w:pPr>
              <w:autoSpaceDE w:val="0"/>
              <w:autoSpaceDN w:val="0"/>
              <w:adjustRightInd w:val="0"/>
              <w:rPr>
                <w:rFonts w:cs="Cambria"/>
                <w:bCs/>
              </w:rPr>
            </w:pPr>
            <w:r>
              <w:rPr>
                <w:rFonts w:cs="Cambria"/>
                <w:bCs/>
              </w:rPr>
              <w:t>Frais de personnel, frais de communication</w:t>
            </w:r>
          </w:p>
        </w:tc>
      </w:tr>
      <w:tr w:rsidR="00B05534" w14:paraId="373014FF" w14:textId="77777777" w:rsidTr="00DD1A42">
        <w:tc>
          <w:tcPr>
            <w:tcW w:w="3085" w:type="dxa"/>
          </w:tcPr>
          <w:p w14:paraId="6BA8FE31" w14:textId="77777777" w:rsidR="00B05534" w:rsidRDefault="00B05534" w:rsidP="00DD1A42">
            <w:pPr>
              <w:autoSpaceDE w:val="0"/>
              <w:autoSpaceDN w:val="0"/>
              <w:adjustRightInd w:val="0"/>
              <w:rPr>
                <w:rFonts w:cs="Cambria"/>
                <w:bCs/>
                <w:sz w:val="28"/>
                <w:szCs w:val="28"/>
              </w:rPr>
            </w:pPr>
            <w:r>
              <w:rPr>
                <w:rFonts w:cs="Cambria"/>
                <w:bCs/>
                <w:sz w:val="28"/>
                <w:szCs w:val="28"/>
              </w:rPr>
              <w:t>Les quantités</w:t>
            </w:r>
          </w:p>
        </w:tc>
        <w:tc>
          <w:tcPr>
            <w:tcW w:w="3694" w:type="dxa"/>
          </w:tcPr>
          <w:p w14:paraId="4D2C838E" w14:textId="77777777" w:rsidR="00B05534" w:rsidRPr="00D807AD" w:rsidRDefault="00B05534" w:rsidP="00DD1A42">
            <w:pPr>
              <w:autoSpaceDE w:val="0"/>
              <w:autoSpaceDN w:val="0"/>
              <w:adjustRightInd w:val="0"/>
              <w:rPr>
                <w:rFonts w:cs="Cambria"/>
                <w:bCs/>
              </w:rPr>
            </w:pPr>
            <w:r>
              <w:rPr>
                <w:rFonts w:cs="Cambria"/>
                <w:bCs/>
              </w:rPr>
              <w:t>Poids, volume, nombre</w:t>
            </w:r>
          </w:p>
        </w:tc>
        <w:tc>
          <w:tcPr>
            <w:tcW w:w="3390" w:type="dxa"/>
          </w:tcPr>
          <w:p w14:paraId="3FBFABD6" w14:textId="77777777" w:rsidR="00B05534" w:rsidRPr="00D807AD" w:rsidRDefault="00B05534" w:rsidP="00DD1A42">
            <w:pPr>
              <w:autoSpaceDE w:val="0"/>
              <w:autoSpaceDN w:val="0"/>
              <w:adjustRightInd w:val="0"/>
              <w:rPr>
                <w:rFonts w:cs="Cambria"/>
                <w:bCs/>
              </w:rPr>
            </w:pPr>
            <w:r>
              <w:rPr>
                <w:rFonts w:cs="Cambria"/>
                <w:bCs/>
              </w:rPr>
              <w:t>Niveau de stock, nombre de rupture de stock, volume de vente.</w:t>
            </w:r>
          </w:p>
        </w:tc>
      </w:tr>
      <w:tr w:rsidR="00B05534" w14:paraId="3143D5A2" w14:textId="77777777" w:rsidTr="00DD1A42">
        <w:tc>
          <w:tcPr>
            <w:tcW w:w="3085" w:type="dxa"/>
          </w:tcPr>
          <w:p w14:paraId="4AA255D3" w14:textId="77777777" w:rsidR="00B05534" w:rsidRDefault="00B05534" w:rsidP="00DD1A42">
            <w:pPr>
              <w:autoSpaceDE w:val="0"/>
              <w:autoSpaceDN w:val="0"/>
              <w:adjustRightInd w:val="0"/>
              <w:rPr>
                <w:rFonts w:cs="Cambria"/>
                <w:bCs/>
                <w:sz w:val="28"/>
                <w:szCs w:val="28"/>
              </w:rPr>
            </w:pPr>
            <w:r>
              <w:rPr>
                <w:rFonts w:cs="Cambria"/>
                <w:bCs/>
                <w:sz w:val="28"/>
                <w:szCs w:val="28"/>
              </w:rPr>
              <w:t>Le gain</w:t>
            </w:r>
          </w:p>
        </w:tc>
        <w:tc>
          <w:tcPr>
            <w:tcW w:w="3694" w:type="dxa"/>
          </w:tcPr>
          <w:p w14:paraId="50C35BAA" w14:textId="77777777" w:rsidR="00B05534" w:rsidRPr="00D807AD" w:rsidRDefault="00B05534" w:rsidP="00DD1A42">
            <w:pPr>
              <w:autoSpaceDE w:val="0"/>
              <w:autoSpaceDN w:val="0"/>
              <w:adjustRightInd w:val="0"/>
              <w:rPr>
                <w:rFonts w:cs="Cambria"/>
                <w:bCs/>
              </w:rPr>
            </w:pPr>
            <w:r>
              <w:rPr>
                <w:rFonts w:cs="Cambria"/>
                <w:bCs/>
              </w:rPr>
              <w:t>Valeur générée par l’activité</w:t>
            </w:r>
          </w:p>
        </w:tc>
        <w:tc>
          <w:tcPr>
            <w:tcW w:w="3390" w:type="dxa"/>
          </w:tcPr>
          <w:p w14:paraId="71A064B1" w14:textId="77777777" w:rsidR="00B05534" w:rsidRPr="00D807AD" w:rsidRDefault="00B05534" w:rsidP="00DD1A42">
            <w:pPr>
              <w:autoSpaceDE w:val="0"/>
              <w:autoSpaceDN w:val="0"/>
              <w:adjustRightInd w:val="0"/>
              <w:rPr>
                <w:rFonts w:cs="Cambria"/>
                <w:bCs/>
              </w:rPr>
            </w:pPr>
            <w:r>
              <w:rPr>
                <w:rFonts w:cs="Cambria"/>
                <w:bCs/>
              </w:rPr>
              <w:t>Marge réalisée, par rayon, par produit, par vendeur</w:t>
            </w:r>
          </w:p>
        </w:tc>
      </w:tr>
      <w:tr w:rsidR="00B05534" w14:paraId="26058A70" w14:textId="77777777" w:rsidTr="00DD1A42">
        <w:tc>
          <w:tcPr>
            <w:tcW w:w="3085" w:type="dxa"/>
          </w:tcPr>
          <w:p w14:paraId="12678118" w14:textId="77777777" w:rsidR="00B05534" w:rsidRDefault="00B05534" w:rsidP="00DD1A42">
            <w:pPr>
              <w:autoSpaceDE w:val="0"/>
              <w:autoSpaceDN w:val="0"/>
              <w:adjustRightInd w:val="0"/>
              <w:rPr>
                <w:rFonts w:cs="Cambria"/>
                <w:bCs/>
                <w:sz w:val="28"/>
                <w:szCs w:val="28"/>
              </w:rPr>
            </w:pPr>
            <w:r>
              <w:rPr>
                <w:rFonts w:cs="Cambria"/>
                <w:bCs/>
                <w:sz w:val="28"/>
                <w:szCs w:val="28"/>
              </w:rPr>
              <w:t>Le temps</w:t>
            </w:r>
          </w:p>
        </w:tc>
        <w:tc>
          <w:tcPr>
            <w:tcW w:w="3694" w:type="dxa"/>
          </w:tcPr>
          <w:p w14:paraId="27D03602" w14:textId="77777777" w:rsidR="00B05534" w:rsidRPr="00D807AD" w:rsidRDefault="00B05534" w:rsidP="00DD1A42">
            <w:pPr>
              <w:autoSpaceDE w:val="0"/>
              <w:autoSpaceDN w:val="0"/>
              <w:adjustRightInd w:val="0"/>
              <w:rPr>
                <w:rFonts w:cs="Cambria"/>
                <w:bCs/>
              </w:rPr>
            </w:pPr>
            <w:r>
              <w:rPr>
                <w:rFonts w:cs="Cambria"/>
                <w:bCs/>
              </w:rPr>
              <w:t>Délais constatés</w:t>
            </w:r>
          </w:p>
        </w:tc>
        <w:tc>
          <w:tcPr>
            <w:tcW w:w="3390" w:type="dxa"/>
          </w:tcPr>
          <w:p w14:paraId="79B4BEB8" w14:textId="77777777" w:rsidR="00B05534" w:rsidRPr="00D807AD" w:rsidRDefault="00B05534" w:rsidP="00DD1A42">
            <w:pPr>
              <w:autoSpaceDE w:val="0"/>
              <w:autoSpaceDN w:val="0"/>
              <w:adjustRightInd w:val="0"/>
              <w:rPr>
                <w:rFonts w:cs="Cambria"/>
                <w:bCs/>
              </w:rPr>
            </w:pPr>
            <w:r>
              <w:rPr>
                <w:rFonts w:cs="Cambria"/>
                <w:bCs/>
              </w:rPr>
              <w:t>Délais de livraison, de traitement d’une commande</w:t>
            </w:r>
          </w:p>
        </w:tc>
      </w:tr>
      <w:tr w:rsidR="00B05534" w14:paraId="2676088B" w14:textId="77777777" w:rsidTr="00DD1A42">
        <w:tc>
          <w:tcPr>
            <w:tcW w:w="3085" w:type="dxa"/>
          </w:tcPr>
          <w:p w14:paraId="3D9CAC40" w14:textId="77777777" w:rsidR="00B05534" w:rsidRDefault="00B05534" w:rsidP="00DD1A42">
            <w:pPr>
              <w:autoSpaceDE w:val="0"/>
              <w:autoSpaceDN w:val="0"/>
              <w:adjustRightInd w:val="0"/>
              <w:rPr>
                <w:rFonts w:cs="Cambria"/>
                <w:bCs/>
                <w:sz w:val="28"/>
                <w:szCs w:val="28"/>
              </w:rPr>
            </w:pPr>
            <w:r>
              <w:rPr>
                <w:rFonts w:cs="Cambria"/>
                <w:bCs/>
                <w:sz w:val="28"/>
                <w:szCs w:val="28"/>
              </w:rPr>
              <w:t>La qualité de service</w:t>
            </w:r>
          </w:p>
        </w:tc>
        <w:tc>
          <w:tcPr>
            <w:tcW w:w="3694" w:type="dxa"/>
          </w:tcPr>
          <w:p w14:paraId="3E88EA9E" w14:textId="77777777" w:rsidR="00B05534" w:rsidRPr="00D807AD" w:rsidRDefault="00B05534" w:rsidP="00DD1A42">
            <w:pPr>
              <w:autoSpaceDE w:val="0"/>
              <w:autoSpaceDN w:val="0"/>
              <w:adjustRightInd w:val="0"/>
              <w:rPr>
                <w:rFonts w:cs="Cambria"/>
                <w:bCs/>
              </w:rPr>
            </w:pPr>
            <w:r>
              <w:rPr>
                <w:rFonts w:cs="Cambria"/>
                <w:bCs/>
              </w:rPr>
              <w:t>Degré de satisfaction ou de conformité</w:t>
            </w:r>
          </w:p>
        </w:tc>
        <w:tc>
          <w:tcPr>
            <w:tcW w:w="3390" w:type="dxa"/>
          </w:tcPr>
          <w:p w14:paraId="259D814C" w14:textId="77777777" w:rsidR="00B05534" w:rsidRPr="00D807AD" w:rsidRDefault="00B05534" w:rsidP="00DD1A42">
            <w:pPr>
              <w:autoSpaceDE w:val="0"/>
              <w:autoSpaceDN w:val="0"/>
              <w:adjustRightInd w:val="0"/>
              <w:rPr>
                <w:rFonts w:cs="Cambria"/>
                <w:bCs/>
              </w:rPr>
            </w:pPr>
            <w:r>
              <w:rPr>
                <w:rFonts w:cs="Cambria"/>
                <w:bCs/>
              </w:rPr>
              <w:t>Taux de satisfaction du  client, nombre de réclamations, de retour en SAV, de litiges, de clients perdus</w:t>
            </w:r>
          </w:p>
        </w:tc>
      </w:tr>
      <w:tr w:rsidR="00B05534" w14:paraId="2B1B1A65" w14:textId="77777777" w:rsidTr="00DD1A42">
        <w:tc>
          <w:tcPr>
            <w:tcW w:w="3085" w:type="dxa"/>
          </w:tcPr>
          <w:p w14:paraId="19327E5C" w14:textId="77777777" w:rsidR="00B05534" w:rsidRDefault="00B05534" w:rsidP="00DD1A42">
            <w:pPr>
              <w:autoSpaceDE w:val="0"/>
              <w:autoSpaceDN w:val="0"/>
              <w:adjustRightInd w:val="0"/>
              <w:rPr>
                <w:rFonts w:cs="Cambria"/>
                <w:bCs/>
                <w:sz w:val="28"/>
                <w:szCs w:val="28"/>
              </w:rPr>
            </w:pPr>
            <w:r>
              <w:rPr>
                <w:rFonts w:cs="Cambria"/>
                <w:bCs/>
                <w:sz w:val="28"/>
                <w:szCs w:val="28"/>
              </w:rPr>
              <w:t>Le domaine social</w:t>
            </w:r>
          </w:p>
        </w:tc>
        <w:tc>
          <w:tcPr>
            <w:tcW w:w="3694" w:type="dxa"/>
          </w:tcPr>
          <w:p w14:paraId="41265C4C" w14:textId="77777777" w:rsidR="00B05534" w:rsidRPr="00D807AD" w:rsidRDefault="00B05534" w:rsidP="00DD1A42">
            <w:pPr>
              <w:autoSpaceDE w:val="0"/>
              <w:autoSpaceDN w:val="0"/>
              <w:adjustRightInd w:val="0"/>
              <w:rPr>
                <w:rFonts w:cs="Cambria"/>
                <w:bCs/>
              </w:rPr>
            </w:pPr>
            <w:r>
              <w:rPr>
                <w:rFonts w:cs="Cambria"/>
                <w:bCs/>
              </w:rPr>
              <w:t>Facteur humain, Gestion des Ressources Humaines</w:t>
            </w:r>
          </w:p>
        </w:tc>
        <w:tc>
          <w:tcPr>
            <w:tcW w:w="3390" w:type="dxa"/>
          </w:tcPr>
          <w:p w14:paraId="77AFB762" w14:textId="77777777" w:rsidR="00B05534" w:rsidRPr="00D807AD" w:rsidRDefault="00B05534" w:rsidP="00DD1A42">
            <w:pPr>
              <w:autoSpaceDE w:val="0"/>
              <w:autoSpaceDN w:val="0"/>
              <w:adjustRightInd w:val="0"/>
              <w:rPr>
                <w:rFonts w:cs="Cambria"/>
                <w:bCs/>
              </w:rPr>
            </w:pPr>
            <w:r>
              <w:rPr>
                <w:rFonts w:cs="Cambria"/>
                <w:bCs/>
              </w:rPr>
              <w:t>Taux d’absentéisme, salaire moyen, jours de grève, nombre moyen d’heures de formation, pourcentage  de la masse salariale affectée à la formation</w:t>
            </w:r>
          </w:p>
        </w:tc>
      </w:tr>
      <w:tr w:rsidR="00B05534" w14:paraId="24E2E512" w14:textId="77777777" w:rsidTr="00DD1A42">
        <w:tc>
          <w:tcPr>
            <w:tcW w:w="3085" w:type="dxa"/>
          </w:tcPr>
          <w:p w14:paraId="49D06ED4" w14:textId="77777777" w:rsidR="00B05534" w:rsidRDefault="00B05534" w:rsidP="00DD1A42">
            <w:pPr>
              <w:autoSpaceDE w:val="0"/>
              <w:autoSpaceDN w:val="0"/>
              <w:adjustRightInd w:val="0"/>
              <w:rPr>
                <w:rFonts w:cs="Cambria"/>
                <w:bCs/>
                <w:sz w:val="28"/>
                <w:szCs w:val="28"/>
              </w:rPr>
            </w:pPr>
            <w:r>
              <w:rPr>
                <w:rFonts w:cs="Cambria"/>
                <w:bCs/>
                <w:sz w:val="28"/>
                <w:szCs w:val="28"/>
              </w:rPr>
              <w:t>La sécurité</w:t>
            </w:r>
          </w:p>
        </w:tc>
        <w:tc>
          <w:tcPr>
            <w:tcW w:w="3694" w:type="dxa"/>
          </w:tcPr>
          <w:p w14:paraId="5C38A88F" w14:textId="77777777" w:rsidR="00B05534" w:rsidRPr="00D807AD" w:rsidRDefault="00B05534" w:rsidP="00DD1A42">
            <w:pPr>
              <w:autoSpaceDE w:val="0"/>
              <w:autoSpaceDN w:val="0"/>
              <w:adjustRightInd w:val="0"/>
              <w:rPr>
                <w:rFonts w:cs="Cambria"/>
                <w:bCs/>
              </w:rPr>
            </w:pPr>
            <w:r>
              <w:rPr>
                <w:rFonts w:cs="Cambria"/>
                <w:bCs/>
              </w:rPr>
              <w:t xml:space="preserve">Des biens et des personnes </w:t>
            </w:r>
          </w:p>
        </w:tc>
        <w:tc>
          <w:tcPr>
            <w:tcW w:w="3390" w:type="dxa"/>
          </w:tcPr>
          <w:p w14:paraId="04A76539" w14:textId="77777777" w:rsidR="00B05534" w:rsidRPr="00D807AD" w:rsidRDefault="00B05534" w:rsidP="00DD1A42">
            <w:pPr>
              <w:autoSpaceDE w:val="0"/>
              <w:autoSpaceDN w:val="0"/>
              <w:adjustRightInd w:val="0"/>
              <w:rPr>
                <w:rFonts w:cs="Cambria"/>
                <w:bCs/>
              </w:rPr>
            </w:pPr>
            <w:r>
              <w:rPr>
                <w:rFonts w:cs="Cambria"/>
                <w:bCs/>
              </w:rPr>
              <w:t>Accidents de travail, vols, dégradations, incivilités</w:t>
            </w:r>
          </w:p>
        </w:tc>
      </w:tr>
    </w:tbl>
    <w:p w14:paraId="2F7AA135" w14:textId="77777777" w:rsidR="00B05534" w:rsidRDefault="00B05534" w:rsidP="00B05534">
      <w:pPr>
        <w:autoSpaceDE w:val="0"/>
        <w:autoSpaceDN w:val="0"/>
        <w:adjustRightInd w:val="0"/>
        <w:rPr>
          <w:rFonts w:cs="Cambria"/>
          <w:bCs/>
          <w:sz w:val="28"/>
          <w:szCs w:val="28"/>
        </w:rPr>
      </w:pPr>
    </w:p>
    <w:p w14:paraId="0E87348A" w14:textId="77777777" w:rsidR="00B05534" w:rsidRDefault="00B05534" w:rsidP="00B05534">
      <w:pPr>
        <w:autoSpaceDE w:val="0"/>
        <w:autoSpaceDN w:val="0"/>
        <w:adjustRightInd w:val="0"/>
        <w:rPr>
          <w:rFonts w:cs="Cambria"/>
          <w:b/>
          <w:bCs/>
          <w:sz w:val="28"/>
          <w:szCs w:val="28"/>
          <w:u w:val="single"/>
        </w:rPr>
      </w:pPr>
      <w:r>
        <w:rPr>
          <w:rFonts w:cs="Cambria"/>
          <w:b/>
          <w:bCs/>
          <w:sz w:val="28"/>
          <w:szCs w:val="28"/>
          <w:u w:val="single"/>
        </w:rPr>
        <w:t>c</w:t>
      </w:r>
      <w:r w:rsidRPr="007F22D4">
        <w:rPr>
          <w:rFonts w:cs="Cambria"/>
          <w:b/>
          <w:bCs/>
          <w:sz w:val="28"/>
          <w:szCs w:val="28"/>
          <w:u w:val="single"/>
        </w:rPr>
        <w:t>)</w:t>
      </w:r>
      <w:r>
        <w:rPr>
          <w:rFonts w:cs="Cambria"/>
          <w:b/>
          <w:bCs/>
          <w:sz w:val="28"/>
          <w:szCs w:val="28"/>
          <w:u w:val="single"/>
        </w:rPr>
        <w:t xml:space="preserve"> Les 3 catégories d’ indicateurs</w:t>
      </w:r>
    </w:p>
    <w:p w14:paraId="73F75424" w14:textId="77777777" w:rsidR="00B05534" w:rsidRDefault="00B05534" w:rsidP="00B05534">
      <w:pPr>
        <w:autoSpaceDE w:val="0"/>
        <w:autoSpaceDN w:val="0"/>
        <w:adjustRightInd w:val="0"/>
        <w:rPr>
          <w:rFonts w:cs="Cambria"/>
          <w:b/>
          <w:bCs/>
          <w:sz w:val="28"/>
          <w:szCs w:val="28"/>
          <w:u w:val="single"/>
        </w:rPr>
      </w:pPr>
    </w:p>
    <w:p w14:paraId="7263EA40" w14:textId="77777777" w:rsidR="00B05534" w:rsidRPr="008D649E" w:rsidRDefault="00B05534" w:rsidP="00B05534">
      <w:pPr>
        <w:autoSpaceDE w:val="0"/>
        <w:autoSpaceDN w:val="0"/>
        <w:adjustRightInd w:val="0"/>
        <w:rPr>
          <w:rFonts w:cs="Cambria"/>
          <w:b/>
          <w:bCs/>
          <w:sz w:val="28"/>
          <w:szCs w:val="28"/>
        </w:rPr>
      </w:pPr>
      <w:r w:rsidRPr="008A5FFB">
        <w:rPr>
          <w:rFonts w:cs="Cambria"/>
          <w:bCs/>
          <w:sz w:val="28"/>
          <w:szCs w:val="28"/>
        </w:rPr>
        <w:t xml:space="preserve">Les indicateurs </w:t>
      </w:r>
      <w:r w:rsidRPr="008D649E">
        <w:rPr>
          <w:rFonts w:cs="Cambria"/>
          <w:b/>
          <w:bCs/>
          <w:sz w:val="28"/>
          <w:szCs w:val="28"/>
        </w:rPr>
        <w:t>commerciaux, sociaux et financiers</w:t>
      </w:r>
    </w:p>
    <w:p w14:paraId="7E1E9F25" w14:textId="77777777" w:rsidR="00B05534" w:rsidRDefault="00B05534" w:rsidP="00B05534">
      <w:pPr>
        <w:autoSpaceDE w:val="0"/>
        <w:autoSpaceDN w:val="0"/>
        <w:adjustRightInd w:val="0"/>
        <w:rPr>
          <w:rFonts w:cs="Cambria"/>
          <w:bCs/>
          <w:sz w:val="28"/>
          <w:szCs w:val="28"/>
        </w:rPr>
      </w:pPr>
    </w:p>
    <w:p w14:paraId="77CC3F0E" w14:textId="77777777" w:rsidR="00B05534" w:rsidRDefault="00B05534" w:rsidP="00B05534">
      <w:pPr>
        <w:autoSpaceDE w:val="0"/>
        <w:autoSpaceDN w:val="0"/>
        <w:adjustRightInd w:val="0"/>
        <w:rPr>
          <w:rFonts w:cs="Cambria"/>
          <w:bCs/>
          <w:sz w:val="28"/>
          <w:szCs w:val="28"/>
        </w:rPr>
      </w:pPr>
      <w:r w:rsidRPr="008D649E">
        <w:rPr>
          <w:rFonts w:cs="Cambria"/>
          <w:b/>
          <w:bCs/>
          <w:sz w:val="28"/>
          <w:szCs w:val="28"/>
          <w:u w:val="single"/>
        </w:rPr>
        <w:t>Les indicateurs commerciaux</w:t>
      </w:r>
      <w:r>
        <w:rPr>
          <w:rFonts w:cs="Cambria"/>
          <w:bCs/>
          <w:sz w:val="28"/>
          <w:szCs w:val="28"/>
        </w:rPr>
        <w:t xml:space="preserve"> sont centrés sur la performance commerciale, la gestion de l’espace de vente et le suivi de la rentabilité</w:t>
      </w:r>
    </w:p>
    <w:p w14:paraId="719BFC96" w14:textId="77777777" w:rsidR="00B05534" w:rsidRDefault="00B05534" w:rsidP="00B05534">
      <w:pPr>
        <w:autoSpaceDE w:val="0"/>
        <w:autoSpaceDN w:val="0"/>
        <w:adjustRightInd w:val="0"/>
        <w:rPr>
          <w:rFonts w:cs="Cambria"/>
          <w:bCs/>
          <w:sz w:val="28"/>
          <w:szCs w:val="28"/>
        </w:rPr>
      </w:pPr>
    </w:p>
    <w:p w14:paraId="0835F41E" w14:textId="77777777" w:rsidR="00B05534" w:rsidRPr="008D649E" w:rsidRDefault="00B05534" w:rsidP="00B05534">
      <w:pPr>
        <w:autoSpaceDE w:val="0"/>
        <w:autoSpaceDN w:val="0"/>
        <w:adjustRightInd w:val="0"/>
        <w:rPr>
          <w:rFonts w:cs="Cambria"/>
          <w:b/>
          <w:bCs/>
          <w:sz w:val="28"/>
          <w:szCs w:val="28"/>
          <w:u w:val="single"/>
        </w:rPr>
      </w:pPr>
    </w:p>
    <w:tbl>
      <w:tblPr>
        <w:tblStyle w:val="Grilledutableau"/>
        <w:tblW w:w="0" w:type="auto"/>
        <w:tblLook w:val="04A0" w:firstRow="1" w:lastRow="0" w:firstColumn="1" w:lastColumn="0" w:noHBand="0" w:noVBand="1"/>
      </w:tblPr>
      <w:tblGrid>
        <w:gridCol w:w="2000"/>
        <w:gridCol w:w="7060"/>
      </w:tblGrid>
      <w:tr w:rsidR="00B05534" w14:paraId="4D8524AE" w14:textId="77777777" w:rsidTr="00DD1A42">
        <w:tc>
          <w:tcPr>
            <w:tcW w:w="2093" w:type="dxa"/>
            <w:shd w:val="clear" w:color="auto" w:fill="FFFF00"/>
          </w:tcPr>
          <w:p w14:paraId="18E2CC7D" w14:textId="77777777" w:rsidR="00B05534" w:rsidRPr="008D649E" w:rsidRDefault="00B05534" w:rsidP="00DD1A42">
            <w:pPr>
              <w:autoSpaceDE w:val="0"/>
              <w:autoSpaceDN w:val="0"/>
              <w:adjustRightInd w:val="0"/>
              <w:jc w:val="center"/>
              <w:rPr>
                <w:rFonts w:cs="Cambria"/>
                <w:b/>
                <w:bCs/>
                <w:sz w:val="28"/>
                <w:szCs w:val="28"/>
              </w:rPr>
            </w:pPr>
            <w:r w:rsidRPr="008D649E">
              <w:rPr>
                <w:rFonts w:cs="Cambria"/>
                <w:b/>
                <w:bCs/>
                <w:sz w:val="28"/>
                <w:szCs w:val="28"/>
              </w:rPr>
              <w:t>Le marché</w:t>
            </w:r>
          </w:p>
        </w:tc>
        <w:tc>
          <w:tcPr>
            <w:tcW w:w="8076" w:type="dxa"/>
          </w:tcPr>
          <w:p w14:paraId="4FCB839E" w14:textId="77777777" w:rsidR="00B05534" w:rsidRPr="008D649E" w:rsidRDefault="00B05534" w:rsidP="00DD1A42">
            <w:pPr>
              <w:autoSpaceDE w:val="0"/>
              <w:autoSpaceDN w:val="0"/>
              <w:adjustRightInd w:val="0"/>
              <w:rPr>
                <w:rFonts w:cs="Cambria"/>
                <w:bCs/>
              </w:rPr>
            </w:pPr>
            <w:r w:rsidRPr="008D649E">
              <w:rPr>
                <w:rFonts w:cs="Cambria"/>
                <w:bCs/>
              </w:rPr>
              <w:t>Chiffre</w:t>
            </w:r>
            <w:r>
              <w:rPr>
                <w:rFonts w:cs="Cambria"/>
                <w:bCs/>
              </w:rPr>
              <w:t xml:space="preserve"> d’affaires, nombre de clients, taux de pénétration dans la zone de chalandise, etc…</w:t>
            </w:r>
          </w:p>
        </w:tc>
      </w:tr>
      <w:tr w:rsidR="00B05534" w14:paraId="3D506C3B" w14:textId="77777777" w:rsidTr="00DD1A42">
        <w:tc>
          <w:tcPr>
            <w:tcW w:w="2093" w:type="dxa"/>
            <w:shd w:val="clear" w:color="auto" w:fill="FFFF00"/>
          </w:tcPr>
          <w:p w14:paraId="07DD10B7" w14:textId="77777777" w:rsidR="00B05534" w:rsidRPr="008D649E" w:rsidRDefault="00B05534" w:rsidP="00DD1A42">
            <w:pPr>
              <w:autoSpaceDE w:val="0"/>
              <w:autoSpaceDN w:val="0"/>
              <w:adjustRightInd w:val="0"/>
              <w:jc w:val="center"/>
              <w:rPr>
                <w:rFonts w:cs="Cambria"/>
                <w:b/>
                <w:bCs/>
                <w:sz w:val="28"/>
                <w:szCs w:val="28"/>
              </w:rPr>
            </w:pPr>
            <w:r w:rsidRPr="008D649E">
              <w:rPr>
                <w:rFonts w:cs="Cambria"/>
                <w:b/>
                <w:bCs/>
                <w:sz w:val="28"/>
                <w:szCs w:val="28"/>
              </w:rPr>
              <w:t>L’espace de vente</w:t>
            </w:r>
          </w:p>
        </w:tc>
        <w:tc>
          <w:tcPr>
            <w:tcW w:w="8076" w:type="dxa"/>
          </w:tcPr>
          <w:p w14:paraId="46D6E65E" w14:textId="77777777" w:rsidR="00B05534" w:rsidRPr="008D649E" w:rsidRDefault="00B05534" w:rsidP="00DD1A42">
            <w:pPr>
              <w:autoSpaceDE w:val="0"/>
              <w:autoSpaceDN w:val="0"/>
              <w:adjustRightInd w:val="0"/>
              <w:rPr>
                <w:rFonts w:cs="Cambria"/>
                <w:bCs/>
              </w:rPr>
            </w:pPr>
            <w:r w:rsidRPr="008D649E">
              <w:rPr>
                <w:rFonts w:cs="Cambria"/>
                <w:bCs/>
              </w:rPr>
              <w:t>Rotation des stocks</w:t>
            </w:r>
            <w:r>
              <w:rPr>
                <w:rFonts w:cs="Cambria"/>
                <w:bCs/>
              </w:rPr>
              <w:t>, linéaire développé, chiffre d’affaire au linéaire, chiffre d’affaire au m2, etc..</w:t>
            </w:r>
          </w:p>
        </w:tc>
      </w:tr>
      <w:tr w:rsidR="00B05534" w14:paraId="110E197D" w14:textId="77777777" w:rsidTr="00DD1A42">
        <w:tc>
          <w:tcPr>
            <w:tcW w:w="2093" w:type="dxa"/>
            <w:shd w:val="clear" w:color="auto" w:fill="FFFF00"/>
          </w:tcPr>
          <w:p w14:paraId="5154E33B" w14:textId="77777777" w:rsidR="00B05534" w:rsidRPr="005955B6" w:rsidRDefault="00B05534" w:rsidP="00DD1A42">
            <w:pPr>
              <w:autoSpaceDE w:val="0"/>
              <w:autoSpaceDN w:val="0"/>
              <w:adjustRightInd w:val="0"/>
              <w:rPr>
                <w:rFonts w:cs="Cambria"/>
                <w:b/>
                <w:bCs/>
                <w:sz w:val="28"/>
                <w:szCs w:val="28"/>
              </w:rPr>
            </w:pPr>
            <w:r w:rsidRPr="005955B6">
              <w:rPr>
                <w:rFonts w:cs="Cambria"/>
                <w:b/>
                <w:bCs/>
                <w:sz w:val="28"/>
                <w:szCs w:val="28"/>
              </w:rPr>
              <w:t xml:space="preserve">Rentabilité </w:t>
            </w:r>
          </w:p>
        </w:tc>
        <w:tc>
          <w:tcPr>
            <w:tcW w:w="8076" w:type="dxa"/>
          </w:tcPr>
          <w:p w14:paraId="409E396E" w14:textId="77777777" w:rsidR="00B05534" w:rsidRPr="005955B6" w:rsidRDefault="00B05534" w:rsidP="00DD1A42">
            <w:pPr>
              <w:autoSpaceDE w:val="0"/>
              <w:autoSpaceDN w:val="0"/>
              <w:adjustRightInd w:val="0"/>
              <w:rPr>
                <w:rFonts w:cs="Cambria"/>
                <w:bCs/>
              </w:rPr>
            </w:pPr>
            <w:r w:rsidRPr="005955B6">
              <w:rPr>
                <w:rFonts w:cs="Cambria"/>
                <w:bCs/>
              </w:rPr>
              <w:t>Marge  commerciale, taux d</w:t>
            </w:r>
            <w:r>
              <w:rPr>
                <w:rFonts w:cs="Cambria"/>
                <w:bCs/>
              </w:rPr>
              <w:t>e marque, marge arrière, démarque inconnue</w:t>
            </w:r>
          </w:p>
        </w:tc>
      </w:tr>
    </w:tbl>
    <w:p w14:paraId="64F492CB" w14:textId="77777777" w:rsidR="00B05534" w:rsidRPr="00701282" w:rsidRDefault="00B05534" w:rsidP="00B05534">
      <w:pPr>
        <w:autoSpaceDE w:val="0"/>
        <w:autoSpaceDN w:val="0"/>
        <w:adjustRightInd w:val="0"/>
        <w:rPr>
          <w:rFonts w:cs="Cambria"/>
          <w:b/>
          <w:bCs/>
          <w:sz w:val="28"/>
          <w:szCs w:val="28"/>
          <w:u w:val="single"/>
        </w:rPr>
      </w:pPr>
      <w:r w:rsidRPr="00701282">
        <w:rPr>
          <w:rFonts w:cs="Arial"/>
          <w:color w:val="222222"/>
          <w:sz w:val="28"/>
          <w:szCs w:val="28"/>
          <w:shd w:val="clear" w:color="auto" w:fill="FFFFFF"/>
        </w:rPr>
        <w:lastRenderedPageBreak/>
        <w:t>Les  </w:t>
      </w:r>
      <w:r w:rsidRPr="00701282">
        <w:rPr>
          <w:rFonts w:cs="Arial"/>
          <w:b/>
          <w:bCs/>
          <w:color w:val="222222"/>
          <w:sz w:val="28"/>
          <w:szCs w:val="28"/>
          <w:shd w:val="clear" w:color="auto" w:fill="FFFFFF"/>
        </w:rPr>
        <w:t>marges arrière</w:t>
      </w:r>
      <w:r w:rsidRPr="00701282">
        <w:rPr>
          <w:rFonts w:cs="Arial"/>
          <w:color w:val="222222"/>
          <w:sz w:val="28"/>
          <w:szCs w:val="28"/>
          <w:shd w:val="clear" w:color="auto" w:fill="FFFFFF"/>
        </w:rPr>
        <w:t>, ou rétrocommissions étaient, en France, des rémunérations ou des remises différées versées par le fournisseur au distributeur qu'il ne pouvait intégrer dans le calcul de ses prix de vente aux consommateurs. Définie par la </w:t>
      </w:r>
      <w:hyperlink r:id="rId5" w:tooltip="Loi Galland" w:history="1">
        <w:r w:rsidRPr="00701282">
          <w:rPr>
            <w:rStyle w:val="Lienhypertexte"/>
            <w:rFonts w:cs="Arial"/>
            <w:color w:val="0B0080"/>
            <w:sz w:val="28"/>
            <w:szCs w:val="28"/>
            <w:shd w:val="clear" w:color="auto" w:fill="FFFFFF"/>
          </w:rPr>
          <w:t>loi Galland</w:t>
        </w:r>
      </w:hyperlink>
      <w:r w:rsidRPr="00701282">
        <w:rPr>
          <w:rFonts w:cs="Arial"/>
          <w:color w:val="222222"/>
          <w:sz w:val="28"/>
          <w:szCs w:val="28"/>
          <w:shd w:val="clear" w:color="auto" w:fill="FFFFFF"/>
        </w:rPr>
        <w:t> en 1996, cette mesure a été modifiée en 2006 par la loi Dutreil</w:t>
      </w:r>
      <w:hyperlink r:id="rId6" w:anchor="cite_note-1" w:history="1">
        <w:r w:rsidRPr="00701282">
          <w:rPr>
            <w:rStyle w:val="Lienhypertexte"/>
            <w:rFonts w:cs="Arial"/>
            <w:color w:val="0B0080"/>
            <w:sz w:val="28"/>
            <w:szCs w:val="28"/>
            <w:shd w:val="clear" w:color="auto" w:fill="FFFFFF"/>
            <w:vertAlign w:val="superscript"/>
          </w:rPr>
          <w:t>1</w:t>
        </w:r>
      </w:hyperlink>
      <w:r w:rsidRPr="00701282">
        <w:rPr>
          <w:rFonts w:cs="Arial"/>
          <w:color w:val="222222"/>
          <w:sz w:val="28"/>
          <w:szCs w:val="28"/>
          <w:shd w:val="clear" w:color="auto" w:fill="FFFFFF"/>
        </w:rPr>
        <w:t> renommant ces rémunérations en « autres avantages financiers », bien que le terme marge arrière soit resté dans le langage courant. Elle permit progressivement sur deux ans d'en tenir compte pour le calcul du seuil de revente à perte. En 2008, la </w:t>
      </w:r>
      <w:hyperlink r:id="rId7" w:tooltip="Loi Chatel" w:history="1">
        <w:r w:rsidRPr="00701282">
          <w:rPr>
            <w:rStyle w:val="Lienhypertexte"/>
            <w:rFonts w:cs="Arial"/>
            <w:color w:val="0B0080"/>
            <w:sz w:val="28"/>
            <w:szCs w:val="28"/>
            <w:shd w:val="clear" w:color="auto" w:fill="FFFFFF"/>
          </w:rPr>
          <w:t>loi Chatel</w:t>
        </w:r>
      </w:hyperlink>
      <w:r w:rsidRPr="00701282">
        <w:rPr>
          <w:rFonts w:cs="Arial"/>
          <w:color w:val="222222"/>
          <w:sz w:val="28"/>
          <w:szCs w:val="28"/>
          <w:shd w:val="clear" w:color="auto" w:fill="FFFFFF"/>
        </w:rPr>
        <w:t> a permis de tenir compte de la totalité de ces rémunérations pour le calcul du seuil de revente à perte.</w:t>
      </w:r>
    </w:p>
    <w:p w14:paraId="15B07367"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color w:val="000000" w:themeColor="text1"/>
          <w:sz w:val="28"/>
          <w:szCs w:val="28"/>
        </w:rPr>
        <w:t>La </w:t>
      </w:r>
      <w:r w:rsidRPr="00701282">
        <w:rPr>
          <w:rFonts w:asciiTheme="minorHAnsi" w:hAnsiTheme="minorHAnsi" w:cs="Arial"/>
          <w:b/>
          <w:bCs/>
          <w:color w:val="000000" w:themeColor="text1"/>
          <w:sz w:val="28"/>
          <w:szCs w:val="28"/>
        </w:rPr>
        <w:t>démarque</w:t>
      </w:r>
      <w:r w:rsidRPr="00701282">
        <w:rPr>
          <w:rFonts w:asciiTheme="minorHAnsi" w:hAnsiTheme="minorHAnsi" w:cs="Arial"/>
          <w:color w:val="000000" w:themeColor="text1"/>
          <w:sz w:val="28"/>
          <w:szCs w:val="28"/>
        </w:rPr>
        <w:t> correspond à l’ensemble des pertes de produits enregistrées par l’entreprise, que ces pertes soient enregistrées régulièrement (démarque connue) ou subies et mises en évidence lors de l’</w:t>
      </w:r>
      <w:hyperlink r:id="rId8" w:tooltip="Inventaire" w:history="1">
        <w:r w:rsidRPr="00701282">
          <w:rPr>
            <w:rStyle w:val="Lienhypertexte"/>
            <w:rFonts w:asciiTheme="minorHAnsi" w:hAnsiTheme="minorHAnsi" w:cs="Arial"/>
            <w:color w:val="000000" w:themeColor="text1"/>
            <w:sz w:val="28"/>
            <w:szCs w:val="28"/>
          </w:rPr>
          <w:t>inventaire</w:t>
        </w:r>
      </w:hyperlink>
      <w:r w:rsidRPr="00701282">
        <w:rPr>
          <w:rFonts w:asciiTheme="minorHAnsi" w:hAnsiTheme="minorHAnsi" w:cs="Arial"/>
          <w:color w:val="000000" w:themeColor="text1"/>
          <w:sz w:val="28"/>
          <w:szCs w:val="28"/>
        </w:rPr>
        <w:t> (démarque inconnue).</w:t>
      </w:r>
    </w:p>
    <w:p w14:paraId="2D480159"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color w:val="000000" w:themeColor="text1"/>
          <w:sz w:val="28"/>
          <w:szCs w:val="28"/>
        </w:rPr>
        <w:t>La démarque est une </w:t>
      </w:r>
      <w:hyperlink r:id="rId9" w:tooltip="Charge comptable" w:history="1">
        <w:r w:rsidRPr="00701282">
          <w:rPr>
            <w:rStyle w:val="Lienhypertexte"/>
            <w:rFonts w:asciiTheme="minorHAnsi" w:hAnsiTheme="minorHAnsi" w:cs="Arial"/>
            <w:color w:val="000000" w:themeColor="text1"/>
            <w:sz w:val="28"/>
            <w:szCs w:val="28"/>
          </w:rPr>
          <w:t>charge</w:t>
        </w:r>
      </w:hyperlink>
      <w:r w:rsidRPr="00701282">
        <w:rPr>
          <w:rFonts w:asciiTheme="minorHAnsi" w:hAnsiTheme="minorHAnsi" w:cs="Arial"/>
          <w:color w:val="000000" w:themeColor="text1"/>
          <w:sz w:val="28"/>
          <w:szCs w:val="28"/>
        </w:rPr>
        <w:t> pour l’entreprise, généralement exprimée en pourcentage du </w:t>
      </w:r>
      <w:hyperlink r:id="rId10" w:tooltip="Chiffre d’affaires" w:history="1">
        <w:r w:rsidRPr="00701282">
          <w:rPr>
            <w:rStyle w:val="Lienhypertexte"/>
            <w:rFonts w:asciiTheme="minorHAnsi" w:hAnsiTheme="minorHAnsi" w:cs="Arial"/>
            <w:color w:val="000000" w:themeColor="text1"/>
            <w:sz w:val="28"/>
            <w:szCs w:val="28"/>
          </w:rPr>
          <w:t>chiffre d’affaires</w:t>
        </w:r>
      </w:hyperlink>
      <w:r w:rsidRPr="00701282">
        <w:rPr>
          <w:rFonts w:asciiTheme="minorHAnsi" w:hAnsiTheme="minorHAnsi" w:cs="Arial"/>
          <w:color w:val="000000" w:themeColor="text1"/>
          <w:sz w:val="28"/>
          <w:szCs w:val="28"/>
        </w:rPr>
        <w:t>.</w:t>
      </w:r>
    </w:p>
    <w:p w14:paraId="3E687F62" w14:textId="77777777" w:rsidR="00B05534" w:rsidRPr="00701282" w:rsidRDefault="00B05534" w:rsidP="00B05534">
      <w:pPr>
        <w:shd w:val="clear" w:color="auto" w:fill="F8F9FA"/>
        <w:rPr>
          <w:rFonts w:cs="Arial"/>
          <w:color w:val="000000" w:themeColor="text1"/>
          <w:sz w:val="28"/>
          <w:szCs w:val="28"/>
        </w:rPr>
      </w:pPr>
      <w:r w:rsidRPr="00701282">
        <w:rPr>
          <w:rFonts w:cs="Arial"/>
          <w:color w:val="000000" w:themeColor="text1"/>
          <w:sz w:val="28"/>
          <w:szCs w:val="28"/>
        </w:rPr>
        <w:object w:dxaOrig="225" w:dyaOrig="225" w14:anchorId="3EA2BB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1" o:title=""/>
          </v:shape>
          <w:control r:id="rId12" w:name="DefaultOcxName" w:shapeid="_x0000_i1028"/>
        </w:object>
      </w:r>
      <w:r w:rsidRPr="0037138B">
        <w:rPr>
          <w:rStyle w:val="mw-headline"/>
          <w:rFonts w:cs="Arial"/>
          <w:b/>
          <w:color w:val="000000" w:themeColor="text1"/>
          <w:sz w:val="28"/>
          <w:szCs w:val="28"/>
        </w:rPr>
        <w:t>La démarque connue</w:t>
      </w:r>
    </w:p>
    <w:p w14:paraId="49EBBA74"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color w:val="000000" w:themeColor="text1"/>
          <w:sz w:val="28"/>
          <w:szCs w:val="28"/>
        </w:rPr>
        <w:t>Au sein de la démarque connue, on retrouve :</w:t>
      </w:r>
    </w:p>
    <w:p w14:paraId="735CC489" w14:textId="77777777" w:rsidR="00B05534" w:rsidRPr="00701282" w:rsidRDefault="00B05534" w:rsidP="00B05534">
      <w:pPr>
        <w:numPr>
          <w:ilvl w:val="0"/>
          <w:numId w:val="7"/>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La casse déclarée et les produits détruits.</w:t>
      </w:r>
    </w:p>
    <w:p w14:paraId="48ECB826" w14:textId="77777777" w:rsidR="00B05534" w:rsidRPr="00701282" w:rsidRDefault="00B05534" w:rsidP="00B05534">
      <w:pPr>
        <w:numPr>
          <w:ilvl w:val="0"/>
          <w:numId w:val="7"/>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Les produits périmés et mis au rebut.</w:t>
      </w:r>
    </w:p>
    <w:p w14:paraId="3C6177BA" w14:textId="77777777" w:rsidR="00B05534" w:rsidRPr="00701282" w:rsidRDefault="00B05534" w:rsidP="00B05534">
      <w:pPr>
        <w:numPr>
          <w:ilvl w:val="0"/>
          <w:numId w:val="7"/>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Le vol reconnu.</w:t>
      </w:r>
    </w:p>
    <w:p w14:paraId="023ADFF5" w14:textId="77777777" w:rsidR="00B05534" w:rsidRPr="00701282" w:rsidRDefault="00B05534" w:rsidP="00B05534">
      <w:pPr>
        <w:numPr>
          <w:ilvl w:val="0"/>
          <w:numId w:val="7"/>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La réduction de prix pratiquée en dessous du </w:t>
      </w:r>
      <w:hyperlink r:id="rId13" w:tooltip="Prix de revient" w:history="1">
        <w:r w:rsidRPr="00701282">
          <w:rPr>
            <w:rStyle w:val="Lienhypertexte"/>
            <w:rFonts w:cs="Arial"/>
            <w:color w:val="000000" w:themeColor="text1"/>
            <w:sz w:val="28"/>
            <w:szCs w:val="28"/>
          </w:rPr>
          <w:t>prix de revient</w:t>
        </w:r>
      </w:hyperlink>
      <w:r w:rsidRPr="00701282">
        <w:rPr>
          <w:rFonts w:cs="Arial"/>
          <w:color w:val="000000" w:themeColor="text1"/>
          <w:sz w:val="28"/>
          <w:szCs w:val="28"/>
        </w:rPr>
        <w:t> taxé (TVA et éventuellement autre) pour favoriser l’écoulement d’un produit (fin de série, solde, date courte).</w:t>
      </w:r>
    </w:p>
    <w:p w14:paraId="27AE7520" w14:textId="77777777" w:rsidR="00B05534" w:rsidRPr="00701282" w:rsidRDefault="00B05534" w:rsidP="00B05534">
      <w:pPr>
        <w:numPr>
          <w:ilvl w:val="0"/>
          <w:numId w:val="7"/>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La démarque financière : erreur de caisse, chèques volés, impayés.</w:t>
      </w:r>
    </w:p>
    <w:p w14:paraId="6AD00C2A" w14:textId="77777777" w:rsidR="00B05534" w:rsidRPr="00701282" w:rsidRDefault="00B05534" w:rsidP="00B05534">
      <w:pPr>
        <w:pStyle w:val="Titre3"/>
        <w:pBdr>
          <w:bottom w:val="dotted" w:sz="6" w:space="0" w:color="AAAAAA"/>
        </w:pBdr>
        <w:shd w:val="clear" w:color="auto" w:fill="FFFFFF"/>
        <w:spacing w:before="72"/>
        <w:rPr>
          <w:rFonts w:asciiTheme="minorHAnsi" w:hAnsiTheme="minorHAnsi" w:cs="Arial"/>
          <w:color w:val="000000" w:themeColor="text1"/>
          <w:sz w:val="28"/>
          <w:szCs w:val="28"/>
        </w:rPr>
      </w:pPr>
      <w:r w:rsidRPr="00701282">
        <w:rPr>
          <w:rStyle w:val="mw-headline"/>
          <w:rFonts w:asciiTheme="minorHAnsi" w:hAnsiTheme="minorHAnsi" w:cs="Arial"/>
          <w:color w:val="000000" w:themeColor="text1"/>
          <w:sz w:val="28"/>
          <w:szCs w:val="28"/>
        </w:rPr>
        <w:t>La démarque inconnue</w:t>
      </w:r>
    </w:p>
    <w:p w14:paraId="4A6F994C"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color w:val="000000" w:themeColor="text1"/>
          <w:sz w:val="28"/>
          <w:szCs w:val="28"/>
        </w:rPr>
        <w:t>La démarque inconnue est définie comme :</w:t>
      </w:r>
    </w:p>
    <w:p w14:paraId="3658E422"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color w:val="000000" w:themeColor="text1"/>
          <w:sz w:val="28"/>
          <w:szCs w:val="28"/>
        </w:rPr>
        <w:t>« La différence entre le stock réel existant à la clôture de l'exercice et le </w:t>
      </w:r>
      <w:hyperlink r:id="rId14" w:tooltip="Stock" w:history="1">
        <w:r w:rsidRPr="00701282">
          <w:rPr>
            <w:rStyle w:val="Lienhypertexte"/>
            <w:rFonts w:asciiTheme="minorHAnsi" w:hAnsiTheme="minorHAnsi" w:cs="Arial"/>
            <w:color w:val="000000" w:themeColor="text1"/>
            <w:sz w:val="28"/>
            <w:szCs w:val="28"/>
          </w:rPr>
          <w:t>stock</w:t>
        </w:r>
      </w:hyperlink>
      <w:r w:rsidRPr="00701282">
        <w:rPr>
          <w:rFonts w:asciiTheme="minorHAnsi" w:hAnsiTheme="minorHAnsi" w:cs="Arial"/>
          <w:color w:val="000000" w:themeColor="text1"/>
          <w:sz w:val="28"/>
          <w:szCs w:val="28"/>
        </w:rPr>
        <w:t xml:space="preserve"> théorique comptable » </w:t>
      </w:r>
      <w:proofErr w:type="spellStart"/>
      <w:r w:rsidRPr="00701282">
        <w:rPr>
          <w:rFonts w:asciiTheme="minorHAnsi" w:hAnsiTheme="minorHAnsi" w:cs="Arial"/>
          <w:color w:val="000000" w:themeColor="text1"/>
          <w:sz w:val="28"/>
          <w:szCs w:val="28"/>
        </w:rPr>
        <w:t>Demory</w:t>
      </w:r>
      <w:proofErr w:type="spellEnd"/>
      <w:r w:rsidRPr="00701282">
        <w:rPr>
          <w:rFonts w:asciiTheme="minorHAnsi" w:hAnsiTheme="minorHAnsi" w:cs="Arial"/>
          <w:color w:val="000000" w:themeColor="text1"/>
          <w:sz w:val="28"/>
          <w:szCs w:val="28"/>
        </w:rPr>
        <w:t xml:space="preserve"> et Chevalier-</w:t>
      </w:r>
      <w:proofErr w:type="spellStart"/>
      <w:r w:rsidRPr="00701282">
        <w:rPr>
          <w:rFonts w:asciiTheme="minorHAnsi" w:hAnsiTheme="minorHAnsi" w:cs="Arial"/>
          <w:color w:val="000000" w:themeColor="text1"/>
          <w:sz w:val="28"/>
          <w:szCs w:val="28"/>
        </w:rPr>
        <w:t>Beaumel</w:t>
      </w:r>
      <w:proofErr w:type="spellEnd"/>
      <w:r w:rsidRPr="00701282">
        <w:rPr>
          <w:rFonts w:asciiTheme="minorHAnsi" w:hAnsiTheme="minorHAnsi" w:cs="Arial"/>
          <w:color w:val="000000" w:themeColor="text1"/>
          <w:sz w:val="28"/>
          <w:szCs w:val="28"/>
        </w:rPr>
        <w:t xml:space="preserve"> (1986)</w:t>
      </w:r>
    </w:p>
    <w:p w14:paraId="0B34B8EF"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color w:val="000000" w:themeColor="text1"/>
          <w:sz w:val="28"/>
          <w:szCs w:val="28"/>
        </w:rPr>
        <w:br/>
        <w:t>Au sein de la démarque inconnue, on retrouve :</w:t>
      </w:r>
    </w:p>
    <w:p w14:paraId="00A74E5E" w14:textId="77777777" w:rsidR="00B05534" w:rsidRPr="00701282" w:rsidRDefault="00B05534" w:rsidP="00B05534">
      <w:pPr>
        <w:numPr>
          <w:ilvl w:val="0"/>
          <w:numId w:val="8"/>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Vol clients ou employés (Vol à l'étalage, coulage...)</w:t>
      </w:r>
    </w:p>
    <w:p w14:paraId="2D761FB3" w14:textId="77777777" w:rsidR="00B05534" w:rsidRPr="00701282" w:rsidRDefault="00B05534" w:rsidP="00B05534">
      <w:pPr>
        <w:numPr>
          <w:ilvl w:val="0"/>
          <w:numId w:val="8"/>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Réceptions mal vérifiées</w:t>
      </w:r>
    </w:p>
    <w:p w14:paraId="27AAEEAC" w14:textId="77777777" w:rsidR="00B05534" w:rsidRPr="00701282" w:rsidRDefault="00B05534" w:rsidP="00B05534">
      <w:pPr>
        <w:numPr>
          <w:ilvl w:val="0"/>
          <w:numId w:val="8"/>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Erreurs dans la préparation des commandes</w:t>
      </w:r>
    </w:p>
    <w:p w14:paraId="6392F6E4" w14:textId="77777777" w:rsidR="00B05534" w:rsidRPr="00701282" w:rsidRDefault="00B05534" w:rsidP="00B05534">
      <w:pPr>
        <w:numPr>
          <w:ilvl w:val="0"/>
          <w:numId w:val="8"/>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Erreurs de tarage des balances alimentaires</w:t>
      </w:r>
    </w:p>
    <w:p w14:paraId="18166614" w14:textId="77777777" w:rsidR="00B05534" w:rsidRPr="00701282" w:rsidRDefault="00B05534" w:rsidP="00B05534">
      <w:pPr>
        <w:numPr>
          <w:ilvl w:val="0"/>
          <w:numId w:val="8"/>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Confusion dans les références</w:t>
      </w:r>
    </w:p>
    <w:p w14:paraId="2E56D5F3" w14:textId="77777777" w:rsidR="00B05534" w:rsidRPr="00701282" w:rsidRDefault="00B05534" w:rsidP="00B05534">
      <w:pPr>
        <w:pStyle w:val="Titre2"/>
        <w:pBdr>
          <w:bottom w:val="single" w:sz="6" w:space="0" w:color="A2A9B1"/>
        </w:pBdr>
        <w:shd w:val="clear" w:color="auto" w:fill="FFFFFF"/>
        <w:spacing w:before="240" w:after="60"/>
        <w:rPr>
          <w:rFonts w:asciiTheme="minorHAnsi" w:hAnsiTheme="minorHAnsi" w:cs="Times New Roman"/>
          <w:b w:val="0"/>
          <w:bCs w:val="0"/>
          <w:color w:val="000000" w:themeColor="text1"/>
          <w:sz w:val="28"/>
          <w:szCs w:val="28"/>
        </w:rPr>
      </w:pPr>
      <w:r w:rsidRPr="00701282">
        <w:rPr>
          <w:rStyle w:val="mw-headline"/>
          <w:rFonts w:asciiTheme="minorHAnsi" w:hAnsiTheme="minorHAnsi"/>
          <w:b w:val="0"/>
          <w:bCs w:val="0"/>
          <w:color w:val="000000" w:themeColor="text1"/>
          <w:sz w:val="28"/>
          <w:szCs w:val="28"/>
        </w:rPr>
        <w:t>Calcul de la démarque totale</w:t>
      </w:r>
    </w:p>
    <w:p w14:paraId="545A8618"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color w:val="000000" w:themeColor="text1"/>
          <w:sz w:val="28"/>
          <w:szCs w:val="28"/>
        </w:rPr>
        <w:t>Démarque totale = Stock théorique – Stock réel</w:t>
      </w:r>
    </w:p>
    <w:p w14:paraId="2FD7371D"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color w:val="000000" w:themeColor="text1"/>
          <w:sz w:val="28"/>
          <w:szCs w:val="28"/>
        </w:rPr>
        <w:t>Démarque totale = CA théorique – CA réalisée</w:t>
      </w:r>
    </w:p>
    <w:p w14:paraId="6E6A18B1"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b/>
          <w:bCs/>
          <w:color w:val="000000" w:themeColor="text1"/>
          <w:sz w:val="28"/>
          <w:szCs w:val="28"/>
        </w:rPr>
        <w:lastRenderedPageBreak/>
        <w:t>Les Origines de la démarque inconnue</w:t>
      </w:r>
      <w:r w:rsidRPr="00701282">
        <w:rPr>
          <w:rFonts w:asciiTheme="minorHAnsi" w:hAnsiTheme="minorHAnsi" w:cs="Arial"/>
          <w:color w:val="000000" w:themeColor="text1"/>
          <w:sz w:val="28"/>
          <w:szCs w:val="28"/>
        </w:rPr>
        <w:t xml:space="preserve"> - Baromètre Centrer for </w:t>
      </w:r>
      <w:proofErr w:type="spellStart"/>
      <w:r w:rsidRPr="00701282">
        <w:rPr>
          <w:rFonts w:asciiTheme="minorHAnsi" w:hAnsiTheme="minorHAnsi" w:cs="Arial"/>
          <w:color w:val="000000" w:themeColor="text1"/>
          <w:sz w:val="28"/>
          <w:szCs w:val="28"/>
        </w:rPr>
        <w:t>Retail</w:t>
      </w:r>
      <w:proofErr w:type="spellEnd"/>
      <w:r w:rsidRPr="00701282">
        <w:rPr>
          <w:rFonts w:asciiTheme="minorHAnsi" w:hAnsiTheme="minorHAnsi" w:cs="Arial"/>
          <w:color w:val="000000" w:themeColor="text1"/>
          <w:sz w:val="28"/>
          <w:szCs w:val="28"/>
        </w:rPr>
        <w:t xml:space="preserve"> </w:t>
      </w:r>
      <w:proofErr w:type="spellStart"/>
      <w:r w:rsidRPr="00701282">
        <w:rPr>
          <w:rFonts w:asciiTheme="minorHAnsi" w:hAnsiTheme="minorHAnsi" w:cs="Arial"/>
          <w:color w:val="000000" w:themeColor="text1"/>
          <w:sz w:val="28"/>
          <w:szCs w:val="28"/>
        </w:rPr>
        <w:t>Research</w:t>
      </w:r>
      <w:proofErr w:type="spellEnd"/>
      <w:r w:rsidRPr="00701282">
        <w:rPr>
          <w:rFonts w:asciiTheme="minorHAnsi" w:hAnsiTheme="minorHAnsi" w:cs="Arial"/>
          <w:color w:val="000000" w:themeColor="text1"/>
          <w:sz w:val="28"/>
          <w:szCs w:val="28"/>
        </w:rPr>
        <w:t xml:space="preserve"> (2006)</w:t>
      </w:r>
    </w:p>
    <w:p w14:paraId="7742313D"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color w:val="000000" w:themeColor="text1"/>
          <w:sz w:val="28"/>
          <w:szCs w:val="28"/>
        </w:rPr>
        <w:t>Les origines de la démarque inconnue (DI) sont diverses :</w:t>
      </w:r>
    </w:p>
    <w:p w14:paraId="4167E393" w14:textId="77777777" w:rsidR="00B05534" w:rsidRPr="00701282" w:rsidRDefault="00B05534" w:rsidP="00B05534">
      <w:pPr>
        <w:numPr>
          <w:ilvl w:val="0"/>
          <w:numId w:val="9"/>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Vol clients (49 %)</w:t>
      </w:r>
    </w:p>
    <w:p w14:paraId="49926654" w14:textId="77777777" w:rsidR="00B05534" w:rsidRPr="00701282" w:rsidRDefault="00B05534" w:rsidP="00B05534">
      <w:pPr>
        <w:numPr>
          <w:ilvl w:val="0"/>
          <w:numId w:val="9"/>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Vol employés (31 %)</w:t>
      </w:r>
    </w:p>
    <w:p w14:paraId="106C7BE3" w14:textId="77777777" w:rsidR="00B05534" w:rsidRPr="00701282" w:rsidRDefault="00B05534" w:rsidP="00B05534">
      <w:pPr>
        <w:numPr>
          <w:ilvl w:val="0"/>
          <w:numId w:val="9"/>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Erreurs internes (14 %)</w:t>
      </w:r>
    </w:p>
    <w:p w14:paraId="2CD95F00" w14:textId="77777777" w:rsidR="00B05534" w:rsidRPr="00701282" w:rsidRDefault="00B05534" w:rsidP="00B05534">
      <w:pPr>
        <w:numPr>
          <w:ilvl w:val="0"/>
          <w:numId w:val="9"/>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Erreurs fournisseurs (6 %).</w:t>
      </w:r>
    </w:p>
    <w:p w14:paraId="2A1E4AEF"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b/>
          <w:bCs/>
          <w:color w:val="000000" w:themeColor="text1"/>
          <w:sz w:val="28"/>
          <w:szCs w:val="28"/>
        </w:rPr>
        <w:t>Taux de DI moyen en Europe</w:t>
      </w:r>
      <w:r w:rsidRPr="00701282">
        <w:rPr>
          <w:rFonts w:asciiTheme="minorHAnsi" w:hAnsiTheme="minorHAnsi" w:cs="Arial"/>
          <w:color w:val="000000" w:themeColor="text1"/>
          <w:sz w:val="28"/>
          <w:szCs w:val="28"/>
        </w:rPr>
        <w:t xml:space="preserve"> - Baromètre Centrer for </w:t>
      </w:r>
      <w:proofErr w:type="spellStart"/>
      <w:r w:rsidRPr="00701282">
        <w:rPr>
          <w:rFonts w:asciiTheme="minorHAnsi" w:hAnsiTheme="minorHAnsi" w:cs="Arial"/>
          <w:color w:val="000000" w:themeColor="text1"/>
          <w:sz w:val="28"/>
          <w:szCs w:val="28"/>
        </w:rPr>
        <w:t>Retail</w:t>
      </w:r>
      <w:proofErr w:type="spellEnd"/>
      <w:r w:rsidRPr="00701282">
        <w:rPr>
          <w:rFonts w:asciiTheme="minorHAnsi" w:hAnsiTheme="minorHAnsi" w:cs="Arial"/>
          <w:color w:val="000000" w:themeColor="text1"/>
          <w:sz w:val="28"/>
          <w:szCs w:val="28"/>
        </w:rPr>
        <w:t xml:space="preserve"> </w:t>
      </w:r>
      <w:proofErr w:type="spellStart"/>
      <w:r w:rsidRPr="00701282">
        <w:rPr>
          <w:rFonts w:asciiTheme="minorHAnsi" w:hAnsiTheme="minorHAnsi" w:cs="Arial"/>
          <w:color w:val="000000" w:themeColor="text1"/>
          <w:sz w:val="28"/>
          <w:szCs w:val="28"/>
        </w:rPr>
        <w:t>Research</w:t>
      </w:r>
      <w:proofErr w:type="spellEnd"/>
      <w:r w:rsidRPr="00701282">
        <w:rPr>
          <w:rFonts w:asciiTheme="minorHAnsi" w:hAnsiTheme="minorHAnsi" w:cs="Arial"/>
          <w:color w:val="000000" w:themeColor="text1"/>
          <w:sz w:val="28"/>
          <w:szCs w:val="28"/>
        </w:rPr>
        <w:t xml:space="preserve"> (2006)</w:t>
      </w:r>
    </w:p>
    <w:p w14:paraId="672D74AF"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color w:val="000000" w:themeColor="text1"/>
          <w:sz w:val="28"/>
          <w:szCs w:val="28"/>
        </w:rPr>
        <w:t>Le taux de DI s’élève à 1,24 % du chiffre d'affaires ce qui équivaut à 29 milliards d'euros.</w:t>
      </w:r>
    </w:p>
    <w:p w14:paraId="55E250D0"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color w:val="000000" w:themeColor="text1"/>
          <w:sz w:val="28"/>
          <w:szCs w:val="28"/>
        </w:rPr>
        <w:t>Rapporté à chaque européen, la démarque inconnue s’élève à 71,23 euros par an.</w:t>
      </w:r>
    </w:p>
    <w:p w14:paraId="66432356"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b/>
          <w:bCs/>
          <w:color w:val="000000" w:themeColor="text1"/>
          <w:sz w:val="28"/>
          <w:szCs w:val="28"/>
        </w:rPr>
        <w:t>Produits Sensibles au vol</w:t>
      </w:r>
    </w:p>
    <w:p w14:paraId="38AF8A09"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color w:val="000000" w:themeColor="text1"/>
          <w:sz w:val="28"/>
          <w:szCs w:val="28"/>
        </w:rPr>
        <w:t>Les cinq produits les plus volés en Europe sont:</w:t>
      </w:r>
    </w:p>
    <w:p w14:paraId="414F5569" w14:textId="77777777" w:rsidR="00B05534" w:rsidRPr="00701282" w:rsidRDefault="00B05534" w:rsidP="00B05534">
      <w:pPr>
        <w:numPr>
          <w:ilvl w:val="0"/>
          <w:numId w:val="10"/>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Boissons alcoolisées</w:t>
      </w:r>
    </w:p>
    <w:p w14:paraId="1B8C6454" w14:textId="77777777" w:rsidR="00B05534" w:rsidRPr="00701282" w:rsidRDefault="00B05534" w:rsidP="00B05534">
      <w:pPr>
        <w:numPr>
          <w:ilvl w:val="0"/>
          <w:numId w:val="10"/>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Produits de beauté et de soins de la peau</w:t>
      </w:r>
    </w:p>
    <w:p w14:paraId="73F1B36B" w14:textId="77777777" w:rsidR="00B05534" w:rsidRPr="00701282" w:rsidRDefault="00B05534" w:rsidP="00B05534">
      <w:pPr>
        <w:numPr>
          <w:ilvl w:val="0"/>
          <w:numId w:val="10"/>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Vêtements pour dames</w:t>
      </w:r>
    </w:p>
    <w:p w14:paraId="1A7D05F6" w14:textId="77777777" w:rsidR="00B05534" w:rsidRPr="00701282" w:rsidRDefault="00B05534" w:rsidP="00B05534">
      <w:pPr>
        <w:numPr>
          <w:ilvl w:val="0"/>
          <w:numId w:val="10"/>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Parfums</w:t>
      </w:r>
    </w:p>
    <w:p w14:paraId="495A6C08" w14:textId="77777777" w:rsidR="00B05534" w:rsidRPr="00701282" w:rsidRDefault="00B05534" w:rsidP="00B05534">
      <w:pPr>
        <w:numPr>
          <w:ilvl w:val="0"/>
          <w:numId w:val="10"/>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Lames de rasoir</w:t>
      </w:r>
    </w:p>
    <w:p w14:paraId="2CEF5B8E" w14:textId="77777777" w:rsidR="00B05534" w:rsidRPr="00701282" w:rsidRDefault="00B05534" w:rsidP="00B05534">
      <w:pPr>
        <w:pStyle w:val="Titre3"/>
        <w:pBdr>
          <w:bottom w:val="dotted" w:sz="6" w:space="0" w:color="AAAAAA"/>
        </w:pBdr>
        <w:shd w:val="clear" w:color="auto" w:fill="FFFFFF"/>
        <w:spacing w:before="72"/>
        <w:rPr>
          <w:rFonts w:asciiTheme="minorHAnsi" w:hAnsiTheme="minorHAnsi" w:cs="Arial"/>
          <w:color w:val="000000" w:themeColor="text1"/>
          <w:sz w:val="28"/>
          <w:szCs w:val="28"/>
        </w:rPr>
      </w:pPr>
      <w:r w:rsidRPr="00701282">
        <w:rPr>
          <w:rStyle w:val="mw-headline"/>
          <w:rFonts w:asciiTheme="minorHAnsi" w:hAnsiTheme="minorHAnsi" w:cs="Arial"/>
          <w:color w:val="000000" w:themeColor="text1"/>
          <w:sz w:val="28"/>
          <w:szCs w:val="28"/>
        </w:rPr>
        <w:t>Moyens pour lutter contre la démarque</w:t>
      </w:r>
    </w:p>
    <w:p w14:paraId="75981898"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b/>
          <w:bCs/>
          <w:color w:val="000000" w:themeColor="text1"/>
          <w:sz w:val="28"/>
          <w:szCs w:val="28"/>
        </w:rPr>
        <w:t>Moyens pour lutter contre la démarque connue :</w:t>
      </w:r>
    </w:p>
    <w:p w14:paraId="66F48065" w14:textId="77777777" w:rsidR="00B05534" w:rsidRPr="00701282" w:rsidRDefault="00B05534" w:rsidP="00B05534">
      <w:pPr>
        <w:numPr>
          <w:ilvl w:val="0"/>
          <w:numId w:val="11"/>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Rotation scrupuleuse des produits</w:t>
      </w:r>
    </w:p>
    <w:p w14:paraId="4CEE8239" w14:textId="77777777" w:rsidR="00B05534" w:rsidRPr="00701282" w:rsidRDefault="00B05534" w:rsidP="00B05534">
      <w:pPr>
        <w:numPr>
          <w:ilvl w:val="0"/>
          <w:numId w:val="11"/>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Stock limité en réserve</w:t>
      </w:r>
    </w:p>
    <w:p w14:paraId="7506B53F"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b/>
          <w:bCs/>
          <w:color w:val="000000" w:themeColor="text1"/>
          <w:sz w:val="28"/>
          <w:szCs w:val="28"/>
        </w:rPr>
        <w:t>Moyens pour lutter contre la démarque inconnue dans le commerce de détail</w:t>
      </w:r>
    </w:p>
    <w:p w14:paraId="1D642B59" w14:textId="77777777" w:rsidR="00B05534" w:rsidRPr="00701282" w:rsidRDefault="00B05534" w:rsidP="00B05534">
      <w:pPr>
        <w:numPr>
          <w:ilvl w:val="0"/>
          <w:numId w:val="12"/>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Mise en place d’antivol – Vidéosurveillance – Service de sécurité</w:t>
      </w:r>
    </w:p>
    <w:p w14:paraId="26DFB9BE" w14:textId="77777777" w:rsidR="00B05534" w:rsidRPr="00701282" w:rsidRDefault="00B05534" w:rsidP="00B05534">
      <w:pPr>
        <w:numPr>
          <w:ilvl w:val="0"/>
          <w:numId w:val="12"/>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Informatisation des points de vente - Étiquetage à la source</w:t>
      </w:r>
    </w:p>
    <w:p w14:paraId="6FE581A4" w14:textId="77777777" w:rsidR="00B05534" w:rsidRPr="00701282" w:rsidRDefault="00B05534" w:rsidP="00B05534">
      <w:pPr>
        <w:numPr>
          <w:ilvl w:val="0"/>
          <w:numId w:val="12"/>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Formation du personnel (surtout les responsabiliser)</w:t>
      </w:r>
    </w:p>
    <w:p w14:paraId="52AB65B1" w14:textId="77777777" w:rsidR="00B05534" w:rsidRPr="00701282" w:rsidRDefault="00B05534" w:rsidP="00B05534">
      <w:pPr>
        <w:autoSpaceDE w:val="0"/>
        <w:autoSpaceDN w:val="0"/>
        <w:adjustRightInd w:val="0"/>
        <w:rPr>
          <w:rFonts w:cs="Cambria"/>
          <w:b/>
          <w:bCs/>
          <w:sz w:val="28"/>
          <w:szCs w:val="28"/>
          <w:u w:val="single"/>
        </w:rPr>
      </w:pPr>
    </w:p>
    <w:p w14:paraId="14690D8C" w14:textId="77777777" w:rsidR="00B05534" w:rsidRPr="00701282" w:rsidRDefault="00B05534" w:rsidP="00B05534">
      <w:pPr>
        <w:autoSpaceDE w:val="0"/>
        <w:autoSpaceDN w:val="0"/>
        <w:adjustRightInd w:val="0"/>
        <w:rPr>
          <w:rFonts w:cs="Cambria"/>
          <w:bCs/>
          <w:sz w:val="28"/>
          <w:szCs w:val="28"/>
        </w:rPr>
      </w:pPr>
      <w:r w:rsidRPr="00701282">
        <w:rPr>
          <w:rFonts w:cs="Cambria"/>
          <w:bCs/>
          <w:sz w:val="28"/>
          <w:szCs w:val="28"/>
        </w:rPr>
        <w:t xml:space="preserve">Une unité </w:t>
      </w:r>
      <w:r w:rsidR="00EE5AFD">
        <w:rPr>
          <w:rFonts w:cs="Cambria"/>
          <w:bCs/>
          <w:sz w:val="28"/>
          <w:szCs w:val="28"/>
        </w:rPr>
        <w:t>commerciale</w:t>
      </w:r>
      <w:r w:rsidRPr="00701282">
        <w:rPr>
          <w:rFonts w:cs="Cambria"/>
          <w:bCs/>
          <w:sz w:val="28"/>
          <w:szCs w:val="28"/>
        </w:rPr>
        <w:t xml:space="preserve"> est avant tout une équipe et les </w:t>
      </w:r>
      <w:r w:rsidRPr="00701282">
        <w:rPr>
          <w:rFonts w:cs="Cambria"/>
          <w:b/>
          <w:bCs/>
          <w:sz w:val="28"/>
          <w:szCs w:val="28"/>
          <w:u w:val="single"/>
        </w:rPr>
        <w:t>indicateurs sociaux</w:t>
      </w:r>
      <w:r w:rsidRPr="00701282">
        <w:rPr>
          <w:rFonts w:cs="Cambria"/>
          <w:bCs/>
          <w:sz w:val="28"/>
          <w:szCs w:val="28"/>
        </w:rPr>
        <w:t xml:space="preserve">  sont essentiels au management. Le calcul de certains d’entre eux est d’ailleurs une obligation légale.</w:t>
      </w:r>
    </w:p>
    <w:p w14:paraId="1D3969F6" w14:textId="77777777" w:rsidR="00B05534" w:rsidRDefault="00B05534"/>
    <w:sectPr w:rsidR="00B05534" w:rsidSect="00B05534">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02E2"/>
    <w:multiLevelType w:val="multilevel"/>
    <w:tmpl w:val="A6FA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52BFD"/>
    <w:multiLevelType w:val="hybridMultilevel"/>
    <w:tmpl w:val="7AEC53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AF114BF"/>
    <w:multiLevelType w:val="multilevel"/>
    <w:tmpl w:val="30E4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B35B2"/>
    <w:multiLevelType w:val="multilevel"/>
    <w:tmpl w:val="35EA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56274"/>
    <w:multiLevelType w:val="hybridMultilevel"/>
    <w:tmpl w:val="76BEEE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7611942"/>
    <w:multiLevelType w:val="hybridMultilevel"/>
    <w:tmpl w:val="6DA24BF4"/>
    <w:lvl w:ilvl="0" w:tplc="CB7AC66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C159BB"/>
    <w:multiLevelType w:val="multilevel"/>
    <w:tmpl w:val="2D86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E0376D"/>
    <w:multiLevelType w:val="multilevel"/>
    <w:tmpl w:val="29F6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6C781A"/>
    <w:multiLevelType w:val="hybridMultilevel"/>
    <w:tmpl w:val="271A68EC"/>
    <w:lvl w:ilvl="0" w:tplc="CB7AC66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D3494B"/>
    <w:multiLevelType w:val="multilevel"/>
    <w:tmpl w:val="17AC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0A0850"/>
    <w:multiLevelType w:val="hybridMultilevel"/>
    <w:tmpl w:val="2E583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CB634B"/>
    <w:multiLevelType w:val="hybridMultilevel"/>
    <w:tmpl w:val="E6D8A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5"/>
  </w:num>
  <w:num w:numId="5">
    <w:abstractNumId w:val="4"/>
  </w:num>
  <w:num w:numId="6">
    <w:abstractNumId w:val="1"/>
  </w:num>
  <w:num w:numId="7">
    <w:abstractNumId w:val="6"/>
  </w:num>
  <w:num w:numId="8">
    <w:abstractNumId w:val="9"/>
  </w:num>
  <w:num w:numId="9">
    <w:abstractNumId w:val="3"/>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15"/>
    <w:rsid w:val="0000254B"/>
    <w:rsid w:val="00010C9A"/>
    <w:rsid w:val="0001697F"/>
    <w:rsid w:val="00023576"/>
    <w:rsid w:val="00044570"/>
    <w:rsid w:val="00054DC7"/>
    <w:rsid w:val="00061D04"/>
    <w:rsid w:val="00070C44"/>
    <w:rsid w:val="000764E4"/>
    <w:rsid w:val="0007780B"/>
    <w:rsid w:val="0008275C"/>
    <w:rsid w:val="00091E81"/>
    <w:rsid w:val="00092100"/>
    <w:rsid w:val="000938CC"/>
    <w:rsid w:val="000A2371"/>
    <w:rsid w:val="000A5992"/>
    <w:rsid w:val="000C2B4D"/>
    <w:rsid w:val="000C7A3A"/>
    <w:rsid w:val="000D20F6"/>
    <w:rsid w:val="000D608B"/>
    <w:rsid w:val="000E06D5"/>
    <w:rsid w:val="000E75B2"/>
    <w:rsid w:val="000F7645"/>
    <w:rsid w:val="00105AC8"/>
    <w:rsid w:val="00110B62"/>
    <w:rsid w:val="00114A4E"/>
    <w:rsid w:val="001223F9"/>
    <w:rsid w:val="00126068"/>
    <w:rsid w:val="001319D8"/>
    <w:rsid w:val="001319F2"/>
    <w:rsid w:val="00133A16"/>
    <w:rsid w:val="00133B76"/>
    <w:rsid w:val="00137973"/>
    <w:rsid w:val="00140AF5"/>
    <w:rsid w:val="001434D7"/>
    <w:rsid w:val="00162862"/>
    <w:rsid w:val="001663A1"/>
    <w:rsid w:val="00171EA4"/>
    <w:rsid w:val="00173C8E"/>
    <w:rsid w:val="00190481"/>
    <w:rsid w:val="00190D9A"/>
    <w:rsid w:val="00194F52"/>
    <w:rsid w:val="001A3F85"/>
    <w:rsid w:val="001A555C"/>
    <w:rsid w:val="001A6418"/>
    <w:rsid w:val="001A7622"/>
    <w:rsid w:val="001B0332"/>
    <w:rsid w:val="001B206F"/>
    <w:rsid w:val="001B5769"/>
    <w:rsid w:val="001C3BEA"/>
    <w:rsid w:val="001C7438"/>
    <w:rsid w:val="001D0186"/>
    <w:rsid w:val="001D02D3"/>
    <w:rsid w:val="001D4C70"/>
    <w:rsid w:val="001D5A50"/>
    <w:rsid w:val="001D6A27"/>
    <w:rsid w:val="001D7C09"/>
    <w:rsid w:val="001E36D7"/>
    <w:rsid w:val="001E3E0F"/>
    <w:rsid w:val="001E55BA"/>
    <w:rsid w:val="001E585D"/>
    <w:rsid w:val="001E6A13"/>
    <w:rsid w:val="001F3176"/>
    <w:rsid w:val="001F689D"/>
    <w:rsid w:val="00201F9B"/>
    <w:rsid w:val="0020362E"/>
    <w:rsid w:val="00205F54"/>
    <w:rsid w:val="002247B0"/>
    <w:rsid w:val="00227882"/>
    <w:rsid w:val="00233005"/>
    <w:rsid w:val="00234537"/>
    <w:rsid w:val="00235948"/>
    <w:rsid w:val="00245447"/>
    <w:rsid w:val="0025446C"/>
    <w:rsid w:val="00256B7C"/>
    <w:rsid w:val="0027324D"/>
    <w:rsid w:val="00274445"/>
    <w:rsid w:val="0027482A"/>
    <w:rsid w:val="002847C3"/>
    <w:rsid w:val="002903E4"/>
    <w:rsid w:val="002A2096"/>
    <w:rsid w:val="002B4A9B"/>
    <w:rsid w:val="002B4CDC"/>
    <w:rsid w:val="002C5016"/>
    <w:rsid w:val="002D235F"/>
    <w:rsid w:val="003000CB"/>
    <w:rsid w:val="00313C0C"/>
    <w:rsid w:val="00317EF7"/>
    <w:rsid w:val="00322FF0"/>
    <w:rsid w:val="00332546"/>
    <w:rsid w:val="00334188"/>
    <w:rsid w:val="003406EC"/>
    <w:rsid w:val="00354B6C"/>
    <w:rsid w:val="0037333C"/>
    <w:rsid w:val="0039172C"/>
    <w:rsid w:val="00396AFC"/>
    <w:rsid w:val="003B0A49"/>
    <w:rsid w:val="003B38D9"/>
    <w:rsid w:val="003D2860"/>
    <w:rsid w:val="003D3796"/>
    <w:rsid w:val="003F0EEA"/>
    <w:rsid w:val="00403236"/>
    <w:rsid w:val="004048DB"/>
    <w:rsid w:val="00417692"/>
    <w:rsid w:val="004215B4"/>
    <w:rsid w:val="00424021"/>
    <w:rsid w:val="0042457E"/>
    <w:rsid w:val="00441BF1"/>
    <w:rsid w:val="004452B5"/>
    <w:rsid w:val="00465163"/>
    <w:rsid w:val="00496D32"/>
    <w:rsid w:val="004B09F6"/>
    <w:rsid w:val="004B57D3"/>
    <w:rsid w:val="004C1E61"/>
    <w:rsid w:val="004C45A8"/>
    <w:rsid w:val="004F0123"/>
    <w:rsid w:val="004F6F29"/>
    <w:rsid w:val="004F7C91"/>
    <w:rsid w:val="00500948"/>
    <w:rsid w:val="00514639"/>
    <w:rsid w:val="00517B75"/>
    <w:rsid w:val="005200AF"/>
    <w:rsid w:val="005257BE"/>
    <w:rsid w:val="00532C14"/>
    <w:rsid w:val="00533106"/>
    <w:rsid w:val="00543DC2"/>
    <w:rsid w:val="00551876"/>
    <w:rsid w:val="005551A1"/>
    <w:rsid w:val="005723C6"/>
    <w:rsid w:val="00590C99"/>
    <w:rsid w:val="005A1696"/>
    <w:rsid w:val="005B2C22"/>
    <w:rsid w:val="005B372E"/>
    <w:rsid w:val="005B778B"/>
    <w:rsid w:val="005C17A9"/>
    <w:rsid w:val="005F2036"/>
    <w:rsid w:val="005F305B"/>
    <w:rsid w:val="005F4F2E"/>
    <w:rsid w:val="005F7215"/>
    <w:rsid w:val="00602AAF"/>
    <w:rsid w:val="00606EB1"/>
    <w:rsid w:val="00634465"/>
    <w:rsid w:val="00652822"/>
    <w:rsid w:val="00652D7A"/>
    <w:rsid w:val="006620D6"/>
    <w:rsid w:val="0066360E"/>
    <w:rsid w:val="00663635"/>
    <w:rsid w:val="00663DB8"/>
    <w:rsid w:val="006656C7"/>
    <w:rsid w:val="00696D0F"/>
    <w:rsid w:val="006A164A"/>
    <w:rsid w:val="006B4D10"/>
    <w:rsid w:val="006C355D"/>
    <w:rsid w:val="006C379F"/>
    <w:rsid w:val="006C5652"/>
    <w:rsid w:val="006C5855"/>
    <w:rsid w:val="006C6EDB"/>
    <w:rsid w:val="006D6507"/>
    <w:rsid w:val="006E100D"/>
    <w:rsid w:val="006E4FCB"/>
    <w:rsid w:val="0070139C"/>
    <w:rsid w:val="0070223B"/>
    <w:rsid w:val="00702705"/>
    <w:rsid w:val="00712CEE"/>
    <w:rsid w:val="00725C94"/>
    <w:rsid w:val="007346D9"/>
    <w:rsid w:val="00755D01"/>
    <w:rsid w:val="00786A4C"/>
    <w:rsid w:val="00791F90"/>
    <w:rsid w:val="007C1F42"/>
    <w:rsid w:val="007C318D"/>
    <w:rsid w:val="007C33F2"/>
    <w:rsid w:val="007D3965"/>
    <w:rsid w:val="007D4AD6"/>
    <w:rsid w:val="007D6DD9"/>
    <w:rsid w:val="007E0716"/>
    <w:rsid w:val="007E3F6E"/>
    <w:rsid w:val="007F6A0F"/>
    <w:rsid w:val="00807822"/>
    <w:rsid w:val="00811969"/>
    <w:rsid w:val="00820D35"/>
    <w:rsid w:val="00821175"/>
    <w:rsid w:val="00827709"/>
    <w:rsid w:val="00831E4C"/>
    <w:rsid w:val="00833F20"/>
    <w:rsid w:val="00854689"/>
    <w:rsid w:val="00860AE4"/>
    <w:rsid w:val="00862DA0"/>
    <w:rsid w:val="00863D4A"/>
    <w:rsid w:val="00863DB1"/>
    <w:rsid w:val="008653B0"/>
    <w:rsid w:val="008824C8"/>
    <w:rsid w:val="00887364"/>
    <w:rsid w:val="00895629"/>
    <w:rsid w:val="008970E8"/>
    <w:rsid w:val="00897D64"/>
    <w:rsid w:val="008A055D"/>
    <w:rsid w:val="008A63CE"/>
    <w:rsid w:val="008A6782"/>
    <w:rsid w:val="008B1BFD"/>
    <w:rsid w:val="008C07CB"/>
    <w:rsid w:val="008C350D"/>
    <w:rsid w:val="008D1505"/>
    <w:rsid w:val="008D3DA3"/>
    <w:rsid w:val="008E3176"/>
    <w:rsid w:val="008E5150"/>
    <w:rsid w:val="0090247F"/>
    <w:rsid w:val="00911A2D"/>
    <w:rsid w:val="009265AA"/>
    <w:rsid w:val="0092737C"/>
    <w:rsid w:val="0096000D"/>
    <w:rsid w:val="00962AD0"/>
    <w:rsid w:val="00962E0A"/>
    <w:rsid w:val="0097036D"/>
    <w:rsid w:val="00970F92"/>
    <w:rsid w:val="0098509D"/>
    <w:rsid w:val="009966EF"/>
    <w:rsid w:val="009979B3"/>
    <w:rsid w:val="009A4C2E"/>
    <w:rsid w:val="009A696E"/>
    <w:rsid w:val="009B3AFB"/>
    <w:rsid w:val="009B4234"/>
    <w:rsid w:val="009B42B4"/>
    <w:rsid w:val="009D13BE"/>
    <w:rsid w:val="009D3718"/>
    <w:rsid w:val="009E7F87"/>
    <w:rsid w:val="009F0093"/>
    <w:rsid w:val="009F7D30"/>
    <w:rsid w:val="00A04343"/>
    <w:rsid w:val="00A0538E"/>
    <w:rsid w:val="00A11461"/>
    <w:rsid w:val="00A21A85"/>
    <w:rsid w:val="00A31A78"/>
    <w:rsid w:val="00A342D4"/>
    <w:rsid w:val="00A47AD2"/>
    <w:rsid w:val="00A57723"/>
    <w:rsid w:val="00A64A9C"/>
    <w:rsid w:val="00A66D8C"/>
    <w:rsid w:val="00A70C6B"/>
    <w:rsid w:val="00A72DF8"/>
    <w:rsid w:val="00A739AD"/>
    <w:rsid w:val="00A86297"/>
    <w:rsid w:val="00A94827"/>
    <w:rsid w:val="00A94FD0"/>
    <w:rsid w:val="00A95863"/>
    <w:rsid w:val="00A966A1"/>
    <w:rsid w:val="00AA054E"/>
    <w:rsid w:val="00AA56D5"/>
    <w:rsid w:val="00AB1678"/>
    <w:rsid w:val="00AB488D"/>
    <w:rsid w:val="00AC22D7"/>
    <w:rsid w:val="00AC4287"/>
    <w:rsid w:val="00AC57DA"/>
    <w:rsid w:val="00AD2BDE"/>
    <w:rsid w:val="00AF00FC"/>
    <w:rsid w:val="00AF081F"/>
    <w:rsid w:val="00AF60C3"/>
    <w:rsid w:val="00AF7C03"/>
    <w:rsid w:val="00B00389"/>
    <w:rsid w:val="00B02116"/>
    <w:rsid w:val="00B05534"/>
    <w:rsid w:val="00B05FF3"/>
    <w:rsid w:val="00B06083"/>
    <w:rsid w:val="00B16135"/>
    <w:rsid w:val="00B21ECD"/>
    <w:rsid w:val="00B44596"/>
    <w:rsid w:val="00B47232"/>
    <w:rsid w:val="00B50A52"/>
    <w:rsid w:val="00B52074"/>
    <w:rsid w:val="00B65E57"/>
    <w:rsid w:val="00B71C41"/>
    <w:rsid w:val="00B81BE4"/>
    <w:rsid w:val="00B85B97"/>
    <w:rsid w:val="00B91FA9"/>
    <w:rsid w:val="00BA3530"/>
    <w:rsid w:val="00BA5D22"/>
    <w:rsid w:val="00BC0C23"/>
    <w:rsid w:val="00BC6F0F"/>
    <w:rsid w:val="00BE2998"/>
    <w:rsid w:val="00BE435F"/>
    <w:rsid w:val="00BF060D"/>
    <w:rsid w:val="00BF7D7E"/>
    <w:rsid w:val="00C047E2"/>
    <w:rsid w:val="00C179F6"/>
    <w:rsid w:val="00C30757"/>
    <w:rsid w:val="00C34FB7"/>
    <w:rsid w:val="00C3516F"/>
    <w:rsid w:val="00C5503C"/>
    <w:rsid w:val="00C63664"/>
    <w:rsid w:val="00C6541F"/>
    <w:rsid w:val="00C74202"/>
    <w:rsid w:val="00CA4215"/>
    <w:rsid w:val="00CB078B"/>
    <w:rsid w:val="00CB2F20"/>
    <w:rsid w:val="00CC364B"/>
    <w:rsid w:val="00CD7380"/>
    <w:rsid w:val="00CD7F32"/>
    <w:rsid w:val="00CE0B7A"/>
    <w:rsid w:val="00CE112A"/>
    <w:rsid w:val="00CF7FEF"/>
    <w:rsid w:val="00D038C2"/>
    <w:rsid w:val="00D15116"/>
    <w:rsid w:val="00D20154"/>
    <w:rsid w:val="00D20C3F"/>
    <w:rsid w:val="00D2300F"/>
    <w:rsid w:val="00D37BDC"/>
    <w:rsid w:val="00D40201"/>
    <w:rsid w:val="00D4107A"/>
    <w:rsid w:val="00D41A3B"/>
    <w:rsid w:val="00D50F09"/>
    <w:rsid w:val="00D52307"/>
    <w:rsid w:val="00D70C67"/>
    <w:rsid w:val="00D710E6"/>
    <w:rsid w:val="00D7175F"/>
    <w:rsid w:val="00D806D8"/>
    <w:rsid w:val="00D83D74"/>
    <w:rsid w:val="00D92200"/>
    <w:rsid w:val="00D93F25"/>
    <w:rsid w:val="00DA0F42"/>
    <w:rsid w:val="00DA32F3"/>
    <w:rsid w:val="00DA36CE"/>
    <w:rsid w:val="00DA540F"/>
    <w:rsid w:val="00DB15BD"/>
    <w:rsid w:val="00DD0DA0"/>
    <w:rsid w:val="00DD683D"/>
    <w:rsid w:val="00DE2588"/>
    <w:rsid w:val="00DE4DFD"/>
    <w:rsid w:val="00DE5690"/>
    <w:rsid w:val="00DE7F3F"/>
    <w:rsid w:val="00DF1657"/>
    <w:rsid w:val="00DF6405"/>
    <w:rsid w:val="00E03176"/>
    <w:rsid w:val="00E1740C"/>
    <w:rsid w:val="00E205EF"/>
    <w:rsid w:val="00E21708"/>
    <w:rsid w:val="00E22BAC"/>
    <w:rsid w:val="00E2348F"/>
    <w:rsid w:val="00E27090"/>
    <w:rsid w:val="00E27C2A"/>
    <w:rsid w:val="00E34B35"/>
    <w:rsid w:val="00E366C7"/>
    <w:rsid w:val="00E41A66"/>
    <w:rsid w:val="00E515FF"/>
    <w:rsid w:val="00E564C4"/>
    <w:rsid w:val="00E61F0A"/>
    <w:rsid w:val="00E642FC"/>
    <w:rsid w:val="00E725DA"/>
    <w:rsid w:val="00E74404"/>
    <w:rsid w:val="00E83083"/>
    <w:rsid w:val="00E86087"/>
    <w:rsid w:val="00E927EC"/>
    <w:rsid w:val="00E95A85"/>
    <w:rsid w:val="00E9639E"/>
    <w:rsid w:val="00EA22C6"/>
    <w:rsid w:val="00EC3308"/>
    <w:rsid w:val="00EC3622"/>
    <w:rsid w:val="00ED4544"/>
    <w:rsid w:val="00ED6705"/>
    <w:rsid w:val="00EE5AFD"/>
    <w:rsid w:val="00EF2973"/>
    <w:rsid w:val="00EF30B1"/>
    <w:rsid w:val="00EF3916"/>
    <w:rsid w:val="00F10A15"/>
    <w:rsid w:val="00F12475"/>
    <w:rsid w:val="00F26A1D"/>
    <w:rsid w:val="00F35A84"/>
    <w:rsid w:val="00F43812"/>
    <w:rsid w:val="00F47115"/>
    <w:rsid w:val="00F53C0D"/>
    <w:rsid w:val="00F60ADB"/>
    <w:rsid w:val="00F6216F"/>
    <w:rsid w:val="00F63E25"/>
    <w:rsid w:val="00F717B3"/>
    <w:rsid w:val="00F772F4"/>
    <w:rsid w:val="00F77DD1"/>
    <w:rsid w:val="00F804CF"/>
    <w:rsid w:val="00F8281A"/>
    <w:rsid w:val="00F84F05"/>
    <w:rsid w:val="00F868C4"/>
    <w:rsid w:val="00F94374"/>
    <w:rsid w:val="00FB10B7"/>
    <w:rsid w:val="00FC2624"/>
    <w:rsid w:val="00FC7163"/>
    <w:rsid w:val="00FE1C23"/>
    <w:rsid w:val="00FE6DF4"/>
    <w:rsid w:val="00FF19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82B7D3"/>
  <w15:docId w15:val="{E5654D9B-D4EA-41D8-8D0F-E987E094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5A8"/>
    <w:pPr>
      <w:spacing w:after="0" w:line="240" w:lineRule="auto"/>
    </w:pPr>
    <w:rPr>
      <w:sz w:val="24"/>
      <w:szCs w:val="24"/>
    </w:rPr>
  </w:style>
  <w:style w:type="paragraph" w:styleId="Titre2">
    <w:name w:val="heading 2"/>
    <w:basedOn w:val="Normal"/>
    <w:next w:val="Normal"/>
    <w:link w:val="Titre2Car"/>
    <w:uiPriority w:val="9"/>
    <w:semiHidden/>
    <w:unhideWhenUsed/>
    <w:qFormat/>
    <w:rsid w:val="00B055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0553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45A8"/>
    <w:pPr>
      <w:ind w:left="720"/>
      <w:contextualSpacing/>
    </w:pPr>
  </w:style>
  <w:style w:type="character" w:customStyle="1" w:styleId="Titre2Car">
    <w:name w:val="Titre 2 Car"/>
    <w:basedOn w:val="Policepardfaut"/>
    <w:link w:val="Titre2"/>
    <w:uiPriority w:val="9"/>
    <w:semiHidden/>
    <w:rsid w:val="00B0553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05534"/>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B05534"/>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rsid w:val="00B05534"/>
    <w:rPr>
      <w:color w:val="0000FF"/>
      <w:u w:val="single"/>
    </w:rPr>
  </w:style>
  <w:style w:type="character" w:customStyle="1" w:styleId="mw-headline">
    <w:name w:val="mw-headline"/>
    <w:basedOn w:val="Policepardfaut"/>
    <w:rsid w:val="00B05534"/>
  </w:style>
  <w:style w:type="table" w:styleId="Grilledutableau">
    <w:name w:val="Table Grid"/>
    <w:basedOn w:val="TableauNormal"/>
    <w:uiPriority w:val="59"/>
    <w:rsid w:val="00B055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centuationlgre">
    <w:name w:val="Subtle Emphasis"/>
    <w:basedOn w:val="Policepardfaut"/>
    <w:uiPriority w:val="19"/>
    <w:qFormat/>
    <w:rsid w:val="0023594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Inventaire" TargetMode="External"/><Relationship Id="rId13" Type="http://schemas.openxmlformats.org/officeDocument/2006/relationships/hyperlink" Target="https://fr.wikipedia.org/wiki/Prix_de_revient" TargetMode="External"/><Relationship Id="rId3" Type="http://schemas.openxmlformats.org/officeDocument/2006/relationships/settings" Target="settings.xml"/><Relationship Id="rId7" Type="http://schemas.openxmlformats.org/officeDocument/2006/relationships/hyperlink" Target="https://fr.wikipedia.org/wiki/Loi_Chatel" TargetMode="External"/><Relationship Id="rId12"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r.wikipedia.org/wiki/Marge_arri%C3%A8re" TargetMode="External"/><Relationship Id="rId11" Type="http://schemas.openxmlformats.org/officeDocument/2006/relationships/image" Target="media/image1.wmf"/><Relationship Id="rId5" Type="http://schemas.openxmlformats.org/officeDocument/2006/relationships/hyperlink" Target="https://fr.wikipedia.org/wiki/Loi_Galland" TargetMode="External"/><Relationship Id="rId15" Type="http://schemas.openxmlformats.org/officeDocument/2006/relationships/fontTable" Target="fontTable.xml"/><Relationship Id="rId10" Type="http://schemas.openxmlformats.org/officeDocument/2006/relationships/hyperlink" Target="https://fr.wikipedia.org/wiki/Chiffre_d%E2%80%99affaires" TargetMode="External"/><Relationship Id="rId4" Type="http://schemas.openxmlformats.org/officeDocument/2006/relationships/webSettings" Target="webSettings.xml"/><Relationship Id="rId9" Type="http://schemas.openxmlformats.org/officeDocument/2006/relationships/hyperlink" Target="https://fr.wikipedia.org/wiki/Charge_comptable" TargetMode="External"/><Relationship Id="rId14" Type="http://schemas.openxmlformats.org/officeDocument/2006/relationships/hyperlink" Target="https://fr.wikipedia.org/wiki/Stoc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1839</Words>
  <Characters>10115</Characters>
  <Application>Microsoft Office Word</Application>
  <DocSecurity>0</DocSecurity>
  <Lines>84</Lines>
  <Paragraphs>23</Paragraphs>
  <ScaleCrop>false</ScaleCrop>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dc:creator>
  <cp:lastModifiedBy>CESAME</cp:lastModifiedBy>
  <cp:revision>2</cp:revision>
  <dcterms:created xsi:type="dcterms:W3CDTF">2020-09-22T09:30:00Z</dcterms:created>
  <dcterms:modified xsi:type="dcterms:W3CDTF">2020-09-22T09:30:00Z</dcterms:modified>
</cp:coreProperties>
</file>