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A6" w:rsidRPr="00D23AA6" w:rsidRDefault="00D23AA6" w:rsidP="004A038F">
      <w:pPr>
        <w:pStyle w:val="tag"/>
        <w:pBdr>
          <w:top w:val="single" w:sz="4" w:space="1" w:color="auto"/>
          <w:left w:val="single" w:sz="4" w:space="4" w:color="auto"/>
          <w:bottom w:val="single" w:sz="4" w:space="1" w:color="auto"/>
          <w:right w:val="single" w:sz="4" w:space="4" w:color="auto"/>
        </w:pBdr>
        <w:shd w:val="clear" w:color="auto" w:fill="92CDDC" w:themeFill="accent5" w:themeFillTint="99"/>
        <w:spacing w:before="0" w:beforeAutospacing="0" w:after="450" w:afterAutospacing="0"/>
        <w:jc w:val="center"/>
        <w:rPr>
          <w:b/>
          <w:sz w:val="32"/>
        </w:rPr>
      </w:pPr>
      <w:bookmarkStart w:id="0" w:name="_GoBack"/>
      <w:bookmarkEnd w:id="0"/>
      <w:r w:rsidRPr="00D23AA6">
        <w:rPr>
          <w:b/>
          <w:sz w:val="32"/>
        </w:rPr>
        <w:t>Exercice Droit du Marketing RMO</w:t>
      </w:r>
    </w:p>
    <w:p w:rsidR="004175CC" w:rsidRPr="00D10AC6" w:rsidRDefault="00D23AA6" w:rsidP="004175CC">
      <w:pPr>
        <w:pStyle w:val="tag"/>
        <w:spacing w:before="0" w:beforeAutospacing="0" w:after="450" w:afterAutospacing="0"/>
        <w:jc w:val="both"/>
        <w:rPr>
          <w:b/>
          <w:sz w:val="28"/>
          <w:u w:val="single"/>
        </w:rPr>
      </w:pPr>
      <w:r w:rsidRPr="00D10AC6">
        <w:rPr>
          <w:b/>
          <w:sz w:val="28"/>
          <w:u w:val="single"/>
        </w:rPr>
        <w:t xml:space="preserve">I </w:t>
      </w:r>
      <w:r w:rsidR="004175CC" w:rsidRPr="00D10AC6">
        <w:rPr>
          <w:b/>
          <w:sz w:val="28"/>
          <w:u w:val="single"/>
        </w:rPr>
        <w:t>Les techniques de communication</w:t>
      </w:r>
    </w:p>
    <w:p w:rsidR="004175CC" w:rsidRPr="00E6345B" w:rsidRDefault="004175CC" w:rsidP="004175CC">
      <w:pPr>
        <w:pStyle w:val="tag"/>
        <w:numPr>
          <w:ilvl w:val="0"/>
          <w:numId w:val="1"/>
        </w:numPr>
        <w:spacing w:before="0" w:beforeAutospacing="0" w:after="450" w:afterAutospacing="0"/>
        <w:jc w:val="both"/>
        <w:rPr>
          <w:b/>
        </w:rPr>
      </w:pPr>
      <w:r w:rsidRPr="00E6345B">
        <w:rPr>
          <w:b/>
        </w:rPr>
        <w:t>A quel type de communication appartiennent les techniques suivantes (Cocher la case correspondante).</w:t>
      </w:r>
      <w:r w:rsidR="00D23AA6">
        <w:rPr>
          <w:b/>
        </w:rPr>
        <w:t xml:space="preserve"> 3</w:t>
      </w:r>
      <w:r w:rsidRPr="00E6345B">
        <w:rPr>
          <w:b/>
        </w:rPr>
        <w:t xml:space="preserve"> Points</w:t>
      </w:r>
    </w:p>
    <w:tbl>
      <w:tblPr>
        <w:tblStyle w:val="Grille"/>
        <w:tblW w:w="10632" w:type="dxa"/>
        <w:tblInd w:w="-743" w:type="dxa"/>
        <w:tblLook w:val="04A0" w:firstRow="1" w:lastRow="0" w:firstColumn="1" w:lastColumn="0" w:noHBand="0" w:noVBand="1"/>
      </w:tblPr>
      <w:tblGrid>
        <w:gridCol w:w="3813"/>
        <w:gridCol w:w="3071"/>
        <w:gridCol w:w="3748"/>
      </w:tblGrid>
      <w:tr w:rsidR="004175CC" w:rsidRPr="007D6505" w:rsidTr="00B46A40">
        <w:tc>
          <w:tcPr>
            <w:tcW w:w="3813" w:type="dxa"/>
            <w:shd w:val="clear" w:color="auto" w:fill="92CDDC" w:themeFill="accent5" w:themeFillTint="99"/>
          </w:tcPr>
          <w:p w:rsidR="004175CC" w:rsidRPr="007D6505" w:rsidRDefault="004175CC" w:rsidP="00DC724A">
            <w:pPr>
              <w:pStyle w:val="tag"/>
              <w:spacing w:before="0" w:beforeAutospacing="0" w:after="0" w:afterAutospacing="0"/>
              <w:jc w:val="center"/>
              <w:rPr>
                <w:b/>
              </w:rPr>
            </w:pPr>
            <w:r>
              <w:rPr>
                <w:b/>
              </w:rPr>
              <w:t>TECHNIQUES DE COMMUNICATION</w:t>
            </w:r>
          </w:p>
        </w:tc>
        <w:tc>
          <w:tcPr>
            <w:tcW w:w="3071" w:type="dxa"/>
            <w:shd w:val="clear" w:color="auto" w:fill="92CDDC" w:themeFill="accent5" w:themeFillTint="99"/>
          </w:tcPr>
          <w:p w:rsidR="004175CC" w:rsidRPr="00F71ABA" w:rsidRDefault="004175CC" w:rsidP="00DC724A">
            <w:pPr>
              <w:pStyle w:val="tag"/>
              <w:spacing w:before="0" w:beforeAutospacing="0" w:after="0" w:afterAutospacing="0"/>
              <w:jc w:val="center"/>
              <w:rPr>
                <w:b/>
                <w:sz w:val="36"/>
                <w:szCs w:val="36"/>
              </w:rPr>
            </w:pPr>
            <w:r w:rsidRPr="00F71ABA">
              <w:rPr>
                <w:b/>
                <w:sz w:val="36"/>
                <w:szCs w:val="36"/>
              </w:rPr>
              <w:t>MEDIA</w:t>
            </w:r>
          </w:p>
        </w:tc>
        <w:tc>
          <w:tcPr>
            <w:tcW w:w="3748" w:type="dxa"/>
            <w:shd w:val="clear" w:color="auto" w:fill="92CDDC" w:themeFill="accent5" w:themeFillTint="99"/>
          </w:tcPr>
          <w:p w:rsidR="004175CC" w:rsidRPr="00F71ABA" w:rsidRDefault="004175CC" w:rsidP="00DC724A">
            <w:pPr>
              <w:pStyle w:val="tag"/>
              <w:spacing w:before="0" w:beforeAutospacing="0" w:after="0" w:afterAutospacing="0"/>
              <w:jc w:val="center"/>
              <w:rPr>
                <w:b/>
                <w:sz w:val="36"/>
                <w:szCs w:val="36"/>
              </w:rPr>
            </w:pPr>
            <w:r w:rsidRPr="00F71ABA">
              <w:rPr>
                <w:b/>
                <w:sz w:val="36"/>
                <w:szCs w:val="36"/>
              </w:rPr>
              <w:t>HORS MEDIA</w:t>
            </w:r>
          </w:p>
        </w:tc>
      </w:tr>
      <w:tr w:rsidR="004175CC" w:rsidTr="00B46A40">
        <w:tc>
          <w:tcPr>
            <w:tcW w:w="3813" w:type="dxa"/>
            <w:shd w:val="clear" w:color="auto" w:fill="DAEEF3" w:themeFill="accent5" w:themeFillTint="33"/>
          </w:tcPr>
          <w:p w:rsidR="004175CC" w:rsidRPr="00B966FA" w:rsidRDefault="004175CC" w:rsidP="00DC724A">
            <w:pPr>
              <w:pStyle w:val="tag"/>
              <w:spacing w:before="0" w:beforeAutospacing="0" w:after="0" w:afterAutospacing="0"/>
              <w:jc w:val="both"/>
              <w:rPr>
                <w:sz w:val="28"/>
              </w:rPr>
            </w:pPr>
            <w:r w:rsidRPr="00B966FA">
              <w:rPr>
                <w:sz w:val="28"/>
              </w:rPr>
              <w:t>Le marketing direct</w:t>
            </w:r>
          </w:p>
        </w:tc>
        <w:tc>
          <w:tcPr>
            <w:tcW w:w="3071" w:type="dxa"/>
          </w:tcPr>
          <w:p w:rsidR="004175CC" w:rsidRPr="00B966FA" w:rsidRDefault="004175CC" w:rsidP="00DC724A">
            <w:pPr>
              <w:pStyle w:val="tag"/>
              <w:spacing w:before="0" w:beforeAutospacing="0" w:after="0" w:afterAutospacing="0"/>
              <w:jc w:val="both"/>
              <w:rPr>
                <w:sz w:val="28"/>
              </w:rPr>
            </w:pPr>
          </w:p>
        </w:tc>
        <w:tc>
          <w:tcPr>
            <w:tcW w:w="3748" w:type="dxa"/>
          </w:tcPr>
          <w:p w:rsidR="004175CC" w:rsidRPr="00B966FA" w:rsidRDefault="004175CC" w:rsidP="00DC724A">
            <w:pPr>
              <w:pStyle w:val="tag"/>
              <w:spacing w:before="0" w:beforeAutospacing="0" w:after="0" w:afterAutospacing="0"/>
              <w:jc w:val="both"/>
              <w:rPr>
                <w:sz w:val="28"/>
              </w:rPr>
            </w:pPr>
          </w:p>
        </w:tc>
      </w:tr>
      <w:tr w:rsidR="004175CC" w:rsidTr="00B46A40">
        <w:tc>
          <w:tcPr>
            <w:tcW w:w="3813" w:type="dxa"/>
            <w:shd w:val="clear" w:color="auto" w:fill="DAEEF3" w:themeFill="accent5" w:themeFillTint="33"/>
          </w:tcPr>
          <w:p w:rsidR="004175CC" w:rsidRPr="00B966FA" w:rsidRDefault="004175CC" w:rsidP="00B966FA">
            <w:pPr>
              <w:pStyle w:val="tag"/>
              <w:spacing w:before="0" w:beforeAutospacing="0" w:after="0" w:afterAutospacing="0"/>
              <w:jc w:val="both"/>
              <w:rPr>
                <w:sz w:val="28"/>
              </w:rPr>
            </w:pPr>
            <w:r w:rsidRPr="00B966FA">
              <w:rPr>
                <w:sz w:val="28"/>
              </w:rPr>
              <w:t xml:space="preserve">La </w:t>
            </w:r>
            <w:r w:rsidR="00B966FA">
              <w:rPr>
                <w:sz w:val="28"/>
              </w:rPr>
              <w:t>publicité</w:t>
            </w:r>
            <w:r w:rsidRPr="00B966FA">
              <w:rPr>
                <w:sz w:val="28"/>
              </w:rPr>
              <w:t xml:space="preserve"> télévisuelle</w:t>
            </w:r>
          </w:p>
        </w:tc>
        <w:tc>
          <w:tcPr>
            <w:tcW w:w="3071" w:type="dxa"/>
          </w:tcPr>
          <w:p w:rsidR="004175CC" w:rsidRPr="00B966FA" w:rsidRDefault="004175CC" w:rsidP="00DC724A">
            <w:pPr>
              <w:pStyle w:val="tag"/>
              <w:spacing w:before="0" w:beforeAutospacing="0" w:after="0" w:afterAutospacing="0"/>
              <w:jc w:val="both"/>
              <w:rPr>
                <w:sz w:val="28"/>
              </w:rPr>
            </w:pPr>
          </w:p>
        </w:tc>
        <w:tc>
          <w:tcPr>
            <w:tcW w:w="3748" w:type="dxa"/>
          </w:tcPr>
          <w:p w:rsidR="004175CC" w:rsidRPr="00B966FA" w:rsidRDefault="004175CC" w:rsidP="00DC724A">
            <w:pPr>
              <w:pStyle w:val="tag"/>
              <w:spacing w:before="0" w:beforeAutospacing="0" w:after="0" w:afterAutospacing="0"/>
              <w:jc w:val="both"/>
              <w:rPr>
                <w:sz w:val="28"/>
              </w:rPr>
            </w:pPr>
          </w:p>
        </w:tc>
      </w:tr>
      <w:tr w:rsidR="004175CC" w:rsidTr="00B46A40">
        <w:tc>
          <w:tcPr>
            <w:tcW w:w="3813" w:type="dxa"/>
            <w:shd w:val="clear" w:color="auto" w:fill="DAEEF3" w:themeFill="accent5" w:themeFillTint="33"/>
          </w:tcPr>
          <w:p w:rsidR="004175CC" w:rsidRPr="00B966FA" w:rsidRDefault="004175CC" w:rsidP="00DC724A">
            <w:pPr>
              <w:pStyle w:val="tag"/>
              <w:spacing w:before="0" w:beforeAutospacing="0" w:after="0" w:afterAutospacing="0"/>
              <w:jc w:val="both"/>
              <w:rPr>
                <w:sz w:val="28"/>
              </w:rPr>
            </w:pPr>
            <w:r w:rsidRPr="00B966FA">
              <w:rPr>
                <w:sz w:val="28"/>
              </w:rPr>
              <w:t>Les promotions des ventes</w:t>
            </w:r>
          </w:p>
        </w:tc>
        <w:tc>
          <w:tcPr>
            <w:tcW w:w="3071" w:type="dxa"/>
          </w:tcPr>
          <w:p w:rsidR="004175CC" w:rsidRPr="00B966FA" w:rsidRDefault="004175CC" w:rsidP="00DC724A">
            <w:pPr>
              <w:pStyle w:val="tag"/>
              <w:spacing w:before="0" w:beforeAutospacing="0" w:after="0" w:afterAutospacing="0"/>
              <w:jc w:val="both"/>
              <w:rPr>
                <w:sz w:val="28"/>
              </w:rPr>
            </w:pPr>
          </w:p>
        </w:tc>
        <w:tc>
          <w:tcPr>
            <w:tcW w:w="3748" w:type="dxa"/>
          </w:tcPr>
          <w:p w:rsidR="004175CC" w:rsidRPr="00B966FA" w:rsidRDefault="004175CC" w:rsidP="00DC724A">
            <w:pPr>
              <w:pStyle w:val="tag"/>
              <w:spacing w:before="0" w:beforeAutospacing="0" w:after="0" w:afterAutospacing="0"/>
              <w:jc w:val="both"/>
              <w:rPr>
                <w:sz w:val="28"/>
              </w:rPr>
            </w:pPr>
          </w:p>
        </w:tc>
      </w:tr>
      <w:tr w:rsidR="004175CC" w:rsidTr="00B46A40">
        <w:tc>
          <w:tcPr>
            <w:tcW w:w="3813" w:type="dxa"/>
            <w:shd w:val="clear" w:color="auto" w:fill="DAEEF3" w:themeFill="accent5" w:themeFillTint="33"/>
          </w:tcPr>
          <w:p w:rsidR="004175CC" w:rsidRPr="00B966FA" w:rsidRDefault="004175CC" w:rsidP="00DC724A">
            <w:pPr>
              <w:pStyle w:val="tag"/>
              <w:spacing w:before="0" w:beforeAutospacing="0" w:after="0" w:afterAutospacing="0"/>
              <w:jc w:val="both"/>
              <w:rPr>
                <w:sz w:val="28"/>
              </w:rPr>
            </w:pPr>
            <w:r w:rsidRPr="00B966FA">
              <w:rPr>
                <w:sz w:val="28"/>
              </w:rPr>
              <w:t>Le mécénat</w:t>
            </w:r>
          </w:p>
        </w:tc>
        <w:tc>
          <w:tcPr>
            <w:tcW w:w="3071" w:type="dxa"/>
          </w:tcPr>
          <w:p w:rsidR="004175CC" w:rsidRPr="00B966FA" w:rsidRDefault="004175CC" w:rsidP="00DC724A">
            <w:pPr>
              <w:pStyle w:val="tag"/>
              <w:spacing w:before="0" w:beforeAutospacing="0" w:after="0" w:afterAutospacing="0"/>
              <w:jc w:val="both"/>
              <w:rPr>
                <w:sz w:val="28"/>
              </w:rPr>
            </w:pPr>
          </w:p>
        </w:tc>
        <w:tc>
          <w:tcPr>
            <w:tcW w:w="3748" w:type="dxa"/>
          </w:tcPr>
          <w:p w:rsidR="004175CC" w:rsidRPr="00B966FA" w:rsidRDefault="004175CC" w:rsidP="00DC724A">
            <w:pPr>
              <w:pStyle w:val="tag"/>
              <w:spacing w:before="0" w:beforeAutospacing="0" w:after="0" w:afterAutospacing="0"/>
              <w:jc w:val="both"/>
              <w:rPr>
                <w:sz w:val="28"/>
              </w:rPr>
            </w:pPr>
          </w:p>
        </w:tc>
      </w:tr>
      <w:tr w:rsidR="004175CC" w:rsidTr="00B46A40">
        <w:tc>
          <w:tcPr>
            <w:tcW w:w="3813" w:type="dxa"/>
            <w:shd w:val="clear" w:color="auto" w:fill="DAEEF3" w:themeFill="accent5" w:themeFillTint="33"/>
          </w:tcPr>
          <w:p w:rsidR="004175CC" w:rsidRPr="00B966FA" w:rsidRDefault="004175CC" w:rsidP="00DC724A">
            <w:pPr>
              <w:pStyle w:val="tag"/>
              <w:spacing w:before="0" w:beforeAutospacing="0" w:after="0" w:afterAutospacing="0"/>
              <w:jc w:val="both"/>
              <w:rPr>
                <w:sz w:val="28"/>
              </w:rPr>
            </w:pPr>
            <w:r w:rsidRPr="00B966FA">
              <w:rPr>
                <w:sz w:val="28"/>
              </w:rPr>
              <w:t>L’affichage</w:t>
            </w:r>
          </w:p>
        </w:tc>
        <w:tc>
          <w:tcPr>
            <w:tcW w:w="3071" w:type="dxa"/>
          </w:tcPr>
          <w:p w:rsidR="004175CC" w:rsidRPr="00B966FA" w:rsidRDefault="004175CC" w:rsidP="00DC724A">
            <w:pPr>
              <w:pStyle w:val="tag"/>
              <w:spacing w:before="0" w:beforeAutospacing="0" w:after="0" w:afterAutospacing="0"/>
              <w:jc w:val="both"/>
              <w:rPr>
                <w:sz w:val="28"/>
              </w:rPr>
            </w:pPr>
          </w:p>
        </w:tc>
        <w:tc>
          <w:tcPr>
            <w:tcW w:w="3748" w:type="dxa"/>
          </w:tcPr>
          <w:p w:rsidR="004175CC" w:rsidRPr="00B966FA" w:rsidRDefault="004175CC" w:rsidP="00DC724A">
            <w:pPr>
              <w:pStyle w:val="tag"/>
              <w:spacing w:before="0" w:beforeAutospacing="0" w:after="0" w:afterAutospacing="0"/>
              <w:jc w:val="both"/>
              <w:rPr>
                <w:sz w:val="28"/>
              </w:rPr>
            </w:pPr>
          </w:p>
        </w:tc>
      </w:tr>
      <w:tr w:rsidR="004175CC" w:rsidTr="00B46A40">
        <w:tc>
          <w:tcPr>
            <w:tcW w:w="3813" w:type="dxa"/>
            <w:shd w:val="clear" w:color="auto" w:fill="DAEEF3" w:themeFill="accent5" w:themeFillTint="33"/>
          </w:tcPr>
          <w:p w:rsidR="004175CC" w:rsidRPr="00B966FA" w:rsidRDefault="004175CC" w:rsidP="00DC724A">
            <w:pPr>
              <w:pStyle w:val="tag"/>
              <w:spacing w:before="0" w:beforeAutospacing="0" w:after="0" w:afterAutospacing="0"/>
              <w:jc w:val="both"/>
              <w:rPr>
                <w:sz w:val="28"/>
              </w:rPr>
            </w:pPr>
            <w:r w:rsidRPr="00B966FA">
              <w:rPr>
                <w:sz w:val="28"/>
              </w:rPr>
              <w:t>Les relations publiques</w:t>
            </w:r>
          </w:p>
        </w:tc>
        <w:tc>
          <w:tcPr>
            <w:tcW w:w="3071" w:type="dxa"/>
          </w:tcPr>
          <w:p w:rsidR="004175CC" w:rsidRPr="00B966FA" w:rsidRDefault="004175CC" w:rsidP="00DC724A">
            <w:pPr>
              <w:pStyle w:val="tag"/>
              <w:spacing w:before="0" w:beforeAutospacing="0" w:after="0" w:afterAutospacing="0"/>
              <w:jc w:val="both"/>
              <w:rPr>
                <w:sz w:val="28"/>
              </w:rPr>
            </w:pPr>
          </w:p>
        </w:tc>
        <w:tc>
          <w:tcPr>
            <w:tcW w:w="3748" w:type="dxa"/>
          </w:tcPr>
          <w:p w:rsidR="004175CC" w:rsidRPr="00B966FA" w:rsidRDefault="004175CC" w:rsidP="00DC724A">
            <w:pPr>
              <w:pStyle w:val="tag"/>
              <w:spacing w:before="0" w:beforeAutospacing="0" w:after="0" w:afterAutospacing="0"/>
              <w:jc w:val="both"/>
              <w:rPr>
                <w:sz w:val="28"/>
              </w:rPr>
            </w:pPr>
          </w:p>
        </w:tc>
      </w:tr>
    </w:tbl>
    <w:p w:rsidR="004175CC" w:rsidRDefault="004175CC" w:rsidP="004175CC">
      <w:pPr>
        <w:pStyle w:val="tag"/>
        <w:spacing w:before="0" w:beforeAutospacing="0" w:after="450" w:afterAutospacing="0"/>
        <w:jc w:val="both"/>
      </w:pPr>
    </w:p>
    <w:p w:rsidR="004175CC" w:rsidRPr="00D10AC6" w:rsidRDefault="00D23AA6" w:rsidP="009E2BC0">
      <w:pPr>
        <w:pStyle w:val="tag"/>
        <w:spacing w:before="0" w:beforeAutospacing="0" w:after="0" w:afterAutospacing="0" w:line="360" w:lineRule="auto"/>
        <w:jc w:val="both"/>
        <w:rPr>
          <w:b/>
          <w:sz w:val="28"/>
          <w:u w:val="single"/>
        </w:rPr>
      </w:pPr>
      <w:r w:rsidRPr="00D10AC6">
        <w:rPr>
          <w:b/>
          <w:sz w:val="28"/>
          <w:u w:val="single"/>
        </w:rPr>
        <w:t>II</w:t>
      </w:r>
      <w:r w:rsidR="004175CC" w:rsidRPr="00D10AC6">
        <w:rPr>
          <w:b/>
          <w:sz w:val="28"/>
          <w:u w:val="single"/>
        </w:rPr>
        <w:t xml:space="preserve"> Les promotions de vente</w:t>
      </w:r>
    </w:p>
    <w:p w:rsidR="004175CC" w:rsidRDefault="004175CC" w:rsidP="004175CC">
      <w:pPr>
        <w:pStyle w:val="tag"/>
        <w:numPr>
          <w:ilvl w:val="0"/>
          <w:numId w:val="1"/>
        </w:numPr>
        <w:spacing w:before="0" w:beforeAutospacing="0" w:after="0" w:afterAutospacing="0" w:line="276" w:lineRule="auto"/>
        <w:jc w:val="both"/>
        <w:rPr>
          <w:b/>
        </w:rPr>
      </w:pPr>
      <w:r w:rsidRPr="00E6345B">
        <w:rPr>
          <w:b/>
        </w:rPr>
        <w:t>Classer les opérations suivantes dans la bonne</w:t>
      </w:r>
      <w:r>
        <w:rPr>
          <w:b/>
        </w:rPr>
        <w:t xml:space="preserve"> catégorie (Vente avec prime</w:t>
      </w:r>
      <w:r w:rsidRPr="00E6345B">
        <w:rPr>
          <w:b/>
        </w:rPr>
        <w:t xml:space="preserve"> ou Promotion sur les prix ? A cocher) et en indiquer la nature</w:t>
      </w:r>
      <w:r>
        <w:rPr>
          <w:b/>
        </w:rPr>
        <w:t>.</w:t>
      </w:r>
      <w:r w:rsidRPr="00E6345B">
        <w:rPr>
          <w:b/>
        </w:rPr>
        <w:t xml:space="preserve"> (Ex. : Pour les ventes avec primes, si la prime est directe, différée, etc..; Pour les Promotions sur les prix, s’il s’agit d’un coupon de réduction, d’une ODR etc…)</w:t>
      </w:r>
      <w:r w:rsidR="00B46A40">
        <w:rPr>
          <w:b/>
        </w:rPr>
        <w:t>. 7</w:t>
      </w:r>
      <w:r w:rsidRPr="00E6345B">
        <w:rPr>
          <w:b/>
        </w:rPr>
        <w:t xml:space="preserve"> Points</w:t>
      </w:r>
    </w:p>
    <w:p w:rsidR="009E2BC0" w:rsidRPr="00E6345B" w:rsidRDefault="009E2BC0" w:rsidP="009E2BC0">
      <w:pPr>
        <w:pStyle w:val="tag"/>
        <w:spacing w:before="0" w:beforeAutospacing="0" w:after="0" w:afterAutospacing="0" w:line="276" w:lineRule="auto"/>
        <w:ind w:left="720"/>
        <w:jc w:val="both"/>
        <w:rPr>
          <w:b/>
        </w:rPr>
      </w:pPr>
    </w:p>
    <w:tbl>
      <w:tblPr>
        <w:tblStyle w:val="Grille"/>
        <w:tblW w:w="11340" w:type="dxa"/>
        <w:tblInd w:w="-1026" w:type="dxa"/>
        <w:tblLook w:val="04A0" w:firstRow="1" w:lastRow="0" w:firstColumn="1" w:lastColumn="0" w:noHBand="0" w:noVBand="1"/>
      </w:tblPr>
      <w:tblGrid>
        <w:gridCol w:w="3457"/>
        <w:gridCol w:w="1505"/>
        <w:gridCol w:w="1559"/>
        <w:gridCol w:w="4819"/>
      </w:tblGrid>
      <w:tr w:rsidR="004175CC" w:rsidTr="00B46A40">
        <w:tc>
          <w:tcPr>
            <w:tcW w:w="3457" w:type="dxa"/>
            <w:shd w:val="clear" w:color="auto" w:fill="92CDDC" w:themeFill="accent5" w:themeFillTint="99"/>
          </w:tcPr>
          <w:p w:rsidR="004175CC" w:rsidRPr="00A860A9" w:rsidRDefault="004175CC" w:rsidP="00DC724A">
            <w:pPr>
              <w:pStyle w:val="tag"/>
              <w:spacing w:before="0" w:beforeAutospacing="0" w:after="0" w:afterAutospacing="0"/>
              <w:jc w:val="center"/>
              <w:rPr>
                <w:b/>
              </w:rPr>
            </w:pPr>
            <w:r w:rsidRPr="00A860A9">
              <w:rPr>
                <w:b/>
              </w:rPr>
              <w:t>TECHNIQUES DE COMMUNICATION</w:t>
            </w:r>
          </w:p>
        </w:tc>
        <w:tc>
          <w:tcPr>
            <w:tcW w:w="1505" w:type="dxa"/>
            <w:shd w:val="clear" w:color="auto" w:fill="92CDDC" w:themeFill="accent5" w:themeFillTint="99"/>
          </w:tcPr>
          <w:p w:rsidR="004175CC" w:rsidRPr="00A860A9" w:rsidRDefault="004175CC" w:rsidP="00DC724A">
            <w:pPr>
              <w:pStyle w:val="tag"/>
              <w:spacing w:before="0" w:beforeAutospacing="0" w:after="0" w:afterAutospacing="0"/>
              <w:jc w:val="center"/>
              <w:rPr>
                <w:b/>
              </w:rPr>
            </w:pPr>
            <w:r>
              <w:rPr>
                <w:b/>
              </w:rPr>
              <w:t>Vente avec prime</w:t>
            </w:r>
          </w:p>
        </w:tc>
        <w:tc>
          <w:tcPr>
            <w:tcW w:w="1559" w:type="dxa"/>
            <w:shd w:val="clear" w:color="auto" w:fill="92CDDC" w:themeFill="accent5" w:themeFillTint="99"/>
          </w:tcPr>
          <w:p w:rsidR="004175CC" w:rsidRPr="00A860A9" w:rsidRDefault="004175CC" w:rsidP="00DC724A">
            <w:pPr>
              <w:pStyle w:val="tag"/>
              <w:spacing w:before="0" w:beforeAutospacing="0" w:after="0" w:afterAutospacing="0"/>
              <w:jc w:val="center"/>
              <w:rPr>
                <w:b/>
              </w:rPr>
            </w:pPr>
            <w:r w:rsidRPr="00A860A9">
              <w:rPr>
                <w:b/>
              </w:rPr>
              <w:t>Promotion sur les prix</w:t>
            </w:r>
          </w:p>
        </w:tc>
        <w:tc>
          <w:tcPr>
            <w:tcW w:w="4819" w:type="dxa"/>
            <w:shd w:val="clear" w:color="auto" w:fill="92CDDC" w:themeFill="accent5" w:themeFillTint="99"/>
          </w:tcPr>
          <w:p w:rsidR="004175CC" w:rsidRPr="00A860A9" w:rsidRDefault="004175CC" w:rsidP="00DC724A">
            <w:pPr>
              <w:pStyle w:val="tag"/>
              <w:spacing w:before="0" w:beforeAutospacing="0" w:after="0" w:afterAutospacing="0"/>
              <w:jc w:val="center"/>
              <w:rPr>
                <w:b/>
              </w:rPr>
            </w:pPr>
            <w:r w:rsidRPr="00A860A9">
              <w:rPr>
                <w:b/>
              </w:rPr>
              <w:t>Nature</w:t>
            </w:r>
          </w:p>
        </w:tc>
      </w:tr>
      <w:tr w:rsidR="004175CC" w:rsidTr="00B46A40">
        <w:tc>
          <w:tcPr>
            <w:tcW w:w="3457" w:type="dxa"/>
            <w:shd w:val="clear" w:color="auto" w:fill="DAEEF3" w:themeFill="accent5" w:themeFillTint="33"/>
          </w:tcPr>
          <w:p w:rsidR="004175CC" w:rsidRPr="00E51A2B" w:rsidRDefault="004175CC" w:rsidP="00DC724A">
            <w:pPr>
              <w:pStyle w:val="tag"/>
              <w:spacing w:before="0" w:beforeAutospacing="0" w:after="0" w:afterAutospacing="0"/>
              <w:jc w:val="both"/>
              <w:rPr>
                <w:i/>
              </w:rPr>
            </w:pPr>
            <w:r w:rsidRPr="00E51A2B">
              <w:rPr>
                <w:i/>
              </w:rPr>
              <w:t>« Un menu offert pour 10 menus achetés »</w:t>
            </w:r>
          </w:p>
        </w:tc>
        <w:tc>
          <w:tcPr>
            <w:tcW w:w="1505" w:type="dxa"/>
          </w:tcPr>
          <w:p w:rsidR="004175CC" w:rsidRDefault="004175CC" w:rsidP="00DC724A">
            <w:pPr>
              <w:pStyle w:val="tag"/>
              <w:spacing w:before="0" w:beforeAutospacing="0" w:after="0" w:afterAutospacing="0"/>
              <w:jc w:val="both"/>
            </w:pPr>
          </w:p>
        </w:tc>
        <w:tc>
          <w:tcPr>
            <w:tcW w:w="1559" w:type="dxa"/>
          </w:tcPr>
          <w:p w:rsidR="004175CC" w:rsidRDefault="004175CC" w:rsidP="00DC724A">
            <w:pPr>
              <w:pStyle w:val="tag"/>
              <w:spacing w:before="0" w:beforeAutospacing="0" w:after="0" w:afterAutospacing="0"/>
              <w:jc w:val="both"/>
            </w:pPr>
          </w:p>
        </w:tc>
        <w:tc>
          <w:tcPr>
            <w:tcW w:w="4819" w:type="dxa"/>
          </w:tcPr>
          <w:p w:rsidR="004175CC" w:rsidRDefault="004175CC" w:rsidP="00DC724A">
            <w:pPr>
              <w:pStyle w:val="tag"/>
              <w:spacing w:before="0" w:beforeAutospacing="0" w:after="0" w:afterAutospacing="0"/>
              <w:jc w:val="both"/>
            </w:pPr>
          </w:p>
        </w:tc>
      </w:tr>
      <w:tr w:rsidR="004175CC" w:rsidTr="00B46A40">
        <w:tc>
          <w:tcPr>
            <w:tcW w:w="3457" w:type="dxa"/>
            <w:shd w:val="clear" w:color="auto" w:fill="DAEEF3" w:themeFill="accent5" w:themeFillTint="33"/>
          </w:tcPr>
          <w:p w:rsidR="004175CC" w:rsidRDefault="004175CC" w:rsidP="00DC724A">
            <w:pPr>
              <w:pStyle w:val="tag"/>
              <w:spacing w:before="0" w:beforeAutospacing="0" w:after="0" w:afterAutospacing="0"/>
              <w:jc w:val="both"/>
              <w:rPr>
                <w:i/>
              </w:rPr>
            </w:pPr>
            <w:r w:rsidRPr="00E51A2B">
              <w:rPr>
                <w:i/>
              </w:rPr>
              <w:t>« 100% remboursés »</w:t>
            </w:r>
          </w:p>
          <w:p w:rsidR="004175CC" w:rsidRPr="00E51A2B" w:rsidRDefault="004175CC" w:rsidP="00DC724A">
            <w:pPr>
              <w:pStyle w:val="tag"/>
              <w:spacing w:before="0" w:beforeAutospacing="0" w:after="0" w:afterAutospacing="0"/>
              <w:jc w:val="both"/>
              <w:rPr>
                <w:i/>
              </w:rPr>
            </w:pPr>
          </w:p>
        </w:tc>
        <w:tc>
          <w:tcPr>
            <w:tcW w:w="1505" w:type="dxa"/>
          </w:tcPr>
          <w:p w:rsidR="004175CC" w:rsidRDefault="004175CC" w:rsidP="00DC724A">
            <w:pPr>
              <w:pStyle w:val="tag"/>
              <w:spacing w:before="0" w:beforeAutospacing="0" w:after="0" w:afterAutospacing="0"/>
              <w:jc w:val="both"/>
            </w:pPr>
          </w:p>
        </w:tc>
        <w:tc>
          <w:tcPr>
            <w:tcW w:w="1559" w:type="dxa"/>
          </w:tcPr>
          <w:p w:rsidR="004175CC" w:rsidRDefault="004175CC" w:rsidP="00DC724A">
            <w:pPr>
              <w:pStyle w:val="tag"/>
              <w:spacing w:before="0" w:beforeAutospacing="0" w:after="0" w:afterAutospacing="0"/>
              <w:jc w:val="both"/>
            </w:pPr>
          </w:p>
        </w:tc>
        <w:tc>
          <w:tcPr>
            <w:tcW w:w="4819" w:type="dxa"/>
          </w:tcPr>
          <w:p w:rsidR="004175CC" w:rsidRDefault="004175CC" w:rsidP="00DC724A">
            <w:pPr>
              <w:pStyle w:val="tag"/>
              <w:spacing w:before="0" w:beforeAutospacing="0" w:after="0" w:afterAutospacing="0"/>
              <w:jc w:val="both"/>
            </w:pPr>
          </w:p>
        </w:tc>
      </w:tr>
      <w:tr w:rsidR="004175CC" w:rsidTr="00B46A40">
        <w:tc>
          <w:tcPr>
            <w:tcW w:w="3457" w:type="dxa"/>
            <w:shd w:val="clear" w:color="auto" w:fill="DAEEF3" w:themeFill="accent5" w:themeFillTint="33"/>
          </w:tcPr>
          <w:p w:rsidR="004175CC" w:rsidRDefault="004175CC" w:rsidP="00DC724A">
            <w:pPr>
              <w:pStyle w:val="tag"/>
              <w:spacing w:before="0" w:beforeAutospacing="0" w:after="0" w:afterAutospacing="0"/>
              <w:jc w:val="both"/>
              <w:rPr>
                <w:i/>
              </w:rPr>
            </w:pPr>
            <w:r w:rsidRPr="00E51A2B">
              <w:rPr>
                <w:i/>
              </w:rPr>
              <w:t>« </w:t>
            </w:r>
            <w:r>
              <w:rPr>
                <w:i/>
              </w:rPr>
              <w:t xml:space="preserve">30% </w:t>
            </w:r>
            <w:r w:rsidRPr="00E51A2B">
              <w:rPr>
                <w:i/>
              </w:rPr>
              <w:t xml:space="preserve"> de produits en plus »</w:t>
            </w:r>
          </w:p>
          <w:p w:rsidR="004175CC" w:rsidRPr="00E51A2B" w:rsidRDefault="004175CC" w:rsidP="00DC724A">
            <w:pPr>
              <w:pStyle w:val="tag"/>
              <w:spacing w:before="0" w:beforeAutospacing="0" w:after="0" w:afterAutospacing="0"/>
              <w:jc w:val="both"/>
              <w:rPr>
                <w:i/>
              </w:rPr>
            </w:pPr>
          </w:p>
        </w:tc>
        <w:tc>
          <w:tcPr>
            <w:tcW w:w="1505" w:type="dxa"/>
          </w:tcPr>
          <w:p w:rsidR="004175CC" w:rsidRDefault="004175CC" w:rsidP="00DC724A">
            <w:pPr>
              <w:pStyle w:val="tag"/>
              <w:spacing w:before="0" w:beforeAutospacing="0" w:after="0" w:afterAutospacing="0"/>
              <w:jc w:val="both"/>
            </w:pPr>
          </w:p>
        </w:tc>
        <w:tc>
          <w:tcPr>
            <w:tcW w:w="1559" w:type="dxa"/>
          </w:tcPr>
          <w:p w:rsidR="004175CC" w:rsidRDefault="004175CC" w:rsidP="00DC724A">
            <w:pPr>
              <w:pStyle w:val="tag"/>
              <w:spacing w:before="0" w:beforeAutospacing="0" w:after="0" w:afterAutospacing="0"/>
              <w:jc w:val="both"/>
            </w:pPr>
          </w:p>
        </w:tc>
        <w:tc>
          <w:tcPr>
            <w:tcW w:w="4819" w:type="dxa"/>
          </w:tcPr>
          <w:p w:rsidR="004175CC" w:rsidRDefault="004175CC" w:rsidP="00DC724A">
            <w:pPr>
              <w:pStyle w:val="tag"/>
              <w:spacing w:before="0" w:beforeAutospacing="0" w:after="0" w:afterAutospacing="0"/>
              <w:jc w:val="both"/>
            </w:pPr>
          </w:p>
        </w:tc>
      </w:tr>
      <w:tr w:rsidR="004175CC" w:rsidTr="00B46A40">
        <w:tc>
          <w:tcPr>
            <w:tcW w:w="3457" w:type="dxa"/>
            <w:shd w:val="clear" w:color="auto" w:fill="DAEEF3" w:themeFill="accent5" w:themeFillTint="33"/>
          </w:tcPr>
          <w:p w:rsidR="004175CC" w:rsidRDefault="004175CC" w:rsidP="00DC724A">
            <w:pPr>
              <w:pStyle w:val="tag"/>
              <w:spacing w:before="0" w:beforeAutospacing="0" w:after="0" w:afterAutospacing="0"/>
              <w:jc w:val="both"/>
              <w:rPr>
                <w:i/>
              </w:rPr>
            </w:pPr>
            <w:r w:rsidRPr="00E51A2B">
              <w:rPr>
                <w:i/>
              </w:rPr>
              <w:t>« Offre spéciale, Lot de 2 … »</w:t>
            </w:r>
          </w:p>
          <w:p w:rsidR="004175CC" w:rsidRPr="00E51A2B" w:rsidRDefault="004175CC" w:rsidP="00DC724A">
            <w:pPr>
              <w:pStyle w:val="tag"/>
              <w:spacing w:before="0" w:beforeAutospacing="0" w:after="0" w:afterAutospacing="0"/>
              <w:jc w:val="both"/>
              <w:rPr>
                <w:i/>
              </w:rPr>
            </w:pPr>
          </w:p>
        </w:tc>
        <w:tc>
          <w:tcPr>
            <w:tcW w:w="1505" w:type="dxa"/>
          </w:tcPr>
          <w:p w:rsidR="004175CC" w:rsidRDefault="004175CC" w:rsidP="00DC724A">
            <w:pPr>
              <w:pStyle w:val="tag"/>
              <w:spacing w:before="0" w:beforeAutospacing="0" w:after="0" w:afterAutospacing="0"/>
              <w:jc w:val="both"/>
            </w:pPr>
          </w:p>
        </w:tc>
        <w:tc>
          <w:tcPr>
            <w:tcW w:w="1559" w:type="dxa"/>
          </w:tcPr>
          <w:p w:rsidR="004175CC" w:rsidRDefault="004175CC" w:rsidP="00DC724A">
            <w:pPr>
              <w:pStyle w:val="tag"/>
              <w:spacing w:before="0" w:beforeAutospacing="0" w:after="0" w:afterAutospacing="0"/>
              <w:jc w:val="both"/>
            </w:pPr>
          </w:p>
        </w:tc>
        <w:tc>
          <w:tcPr>
            <w:tcW w:w="4819" w:type="dxa"/>
          </w:tcPr>
          <w:p w:rsidR="004175CC" w:rsidRDefault="004175CC" w:rsidP="00DC724A">
            <w:pPr>
              <w:pStyle w:val="tag"/>
              <w:spacing w:before="0" w:beforeAutospacing="0" w:after="0" w:afterAutospacing="0"/>
              <w:jc w:val="both"/>
            </w:pPr>
          </w:p>
        </w:tc>
      </w:tr>
      <w:tr w:rsidR="004175CC" w:rsidTr="00B46A40">
        <w:tc>
          <w:tcPr>
            <w:tcW w:w="3457" w:type="dxa"/>
            <w:shd w:val="clear" w:color="auto" w:fill="DAEEF3" w:themeFill="accent5" w:themeFillTint="33"/>
          </w:tcPr>
          <w:p w:rsidR="004175CC" w:rsidRPr="00E51A2B" w:rsidRDefault="004175CC" w:rsidP="00DC724A">
            <w:pPr>
              <w:pStyle w:val="tag"/>
              <w:spacing w:before="0" w:beforeAutospacing="0" w:after="0" w:afterAutospacing="0"/>
              <w:jc w:val="both"/>
              <w:rPr>
                <w:i/>
              </w:rPr>
            </w:pPr>
            <w:r w:rsidRPr="00E51A2B">
              <w:rPr>
                <w:i/>
              </w:rPr>
              <w:t>« </w:t>
            </w:r>
            <w:r>
              <w:rPr>
                <w:i/>
              </w:rPr>
              <w:t>Des essuie-glace offerts pour toute intervention parebrise</w:t>
            </w:r>
            <w:r w:rsidRPr="00E51A2B">
              <w:rPr>
                <w:i/>
              </w:rPr>
              <w:t>»</w:t>
            </w:r>
          </w:p>
        </w:tc>
        <w:tc>
          <w:tcPr>
            <w:tcW w:w="1505" w:type="dxa"/>
          </w:tcPr>
          <w:p w:rsidR="004175CC" w:rsidRDefault="004175CC" w:rsidP="00DC724A">
            <w:pPr>
              <w:pStyle w:val="tag"/>
              <w:spacing w:before="0" w:beforeAutospacing="0" w:after="0" w:afterAutospacing="0"/>
              <w:jc w:val="both"/>
            </w:pPr>
          </w:p>
        </w:tc>
        <w:tc>
          <w:tcPr>
            <w:tcW w:w="1559" w:type="dxa"/>
          </w:tcPr>
          <w:p w:rsidR="004175CC" w:rsidRDefault="004175CC" w:rsidP="00DC724A">
            <w:pPr>
              <w:pStyle w:val="tag"/>
              <w:spacing w:before="0" w:beforeAutospacing="0" w:after="0" w:afterAutospacing="0"/>
              <w:jc w:val="both"/>
            </w:pPr>
          </w:p>
        </w:tc>
        <w:tc>
          <w:tcPr>
            <w:tcW w:w="4819" w:type="dxa"/>
          </w:tcPr>
          <w:p w:rsidR="004175CC" w:rsidRDefault="004175CC" w:rsidP="00DC724A">
            <w:pPr>
              <w:pStyle w:val="tag"/>
              <w:spacing w:before="0" w:beforeAutospacing="0" w:after="0" w:afterAutospacing="0"/>
              <w:jc w:val="both"/>
            </w:pPr>
          </w:p>
        </w:tc>
      </w:tr>
      <w:tr w:rsidR="004175CC" w:rsidTr="00B46A40">
        <w:tc>
          <w:tcPr>
            <w:tcW w:w="3457" w:type="dxa"/>
            <w:shd w:val="clear" w:color="auto" w:fill="DAEEF3" w:themeFill="accent5" w:themeFillTint="33"/>
          </w:tcPr>
          <w:p w:rsidR="004175CC" w:rsidRPr="00E51A2B" w:rsidRDefault="004175CC" w:rsidP="00DC724A">
            <w:pPr>
              <w:pStyle w:val="tag"/>
              <w:spacing w:before="0" w:beforeAutospacing="0" w:after="0" w:afterAutospacing="0"/>
              <w:jc w:val="both"/>
              <w:rPr>
                <w:i/>
              </w:rPr>
            </w:pPr>
            <w:r w:rsidRPr="00E51A2B">
              <w:rPr>
                <w:i/>
              </w:rPr>
              <w:t xml:space="preserve">« 0.30 cents de réduction immédiate » </w:t>
            </w:r>
          </w:p>
        </w:tc>
        <w:tc>
          <w:tcPr>
            <w:tcW w:w="1505" w:type="dxa"/>
          </w:tcPr>
          <w:p w:rsidR="004175CC" w:rsidRDefault="004175CC" w:rsidP="00DC724A">
            <w:pPr>
              <w:pStyle w:val="tag"/>
              <w:spacing w:before="0" w:beforeAutospacing="0" w:after="0" w:afterAutospacing="0"/>
              <w:jc w:val="both"/>
            </w:pPr>
          </w:p>
        </w:tc>
        <w:tc>
          <w:tcPr>
            <w:tcW w:w="1559" w:type="dxa"/>
          </w:tcPr>
          <w:p w:rsidR="004175CC" w:rsidRDefault="004175CC" w:rsidP="00DC724A">
            <w:pPr>
              <w:pStyle w:val="tag"/>
              <w:spacing w:before="0" w:beforeAutospacing="0" w:after="0" w:afterAutospacing="0"/>
              <w:jc w:val="both"/>
            </w:pPr>
          </w:p>
        </w:tc>
        <w:tc>
          <w:tcPr>
            <w:tcW w:w="4819" w:type="dxa"/>
          </w:tcPr>
          <w:p w:rsidR="004175CC" w:rsidRDefault="004175CC" w:rsidP="00DC724A">
            <w:pPr>
              <w:pStyle w:val="tag"/>
              <w:spacing w:before="0" w:beforeAutospacing="0" w:after="0" w:afterAutospacing="0"/>
              <w:jc w:val="both"/>
            </w:pPr>
          </w:p>
        </w:tc>
      </w:tr>
      <w:tr w:rsidR="004175CC" w:rsidTr="00B46A40">
        <w:tc>
          <w:tcPr>
            <w:tcW w:w="3457" w:type="dxa"/>
            <w:shd w:val="clear" w:color="auto" w:fill="DAEEF3" w:themeFill="accent5" w:themeFillTint="33"/>
          </w:tcPr>
          <w:p w:rsidR="004175CC" w:rsidRDefault="004175CC" w:rsidP="00DC724A">
            <w:pPr>
              <w:pStyle w:val="tag"/>
              <w:spacing w:before="0" w:beforeAutospacing="0" w:after="0" w:afterAutospacing="0"/>
              <w:jc w:val="both"/>
              <w:rPr>
                <w:i/>
              </w:rPr>
            </w:pPr>
            <w:r>
              <w:rPr>
                <w:i/>
              </w:rPr>
              <w:t>« 2 polos achetés le 3</w:t>
            </w:r>
            <w:r w:rsidRPr="00F71ABA">
              <w:rPr>
                <w:i/>
                <w:vertAlign w:val="superscript"/>
              </w:rPr>
              <w:t>ème</w:t>
            </w:r>
            <w:r>
              <w:rPr>
                <w:i/>
              </w:rPr>
              <w:t xml:space="preserve"> offert »</w:t>
            </w:r>
          </w:p>
          <w:p w:rsidR="004175CC" w:rsidRPr="00E51A2B" w:rsidRDefault="004175CC" w:rsidP="00DC724A">
            <w:pPr>
              <w:pStyle w:val="tag"/>
              <w:spacing w:before="0" w:beforeAutospacing="0" w:after="0" w:afterAutospacing="0"/>
              <w:jc w:val="both"/>
              <w:rPr>
                <w:i/>
              </w:rPr>
            </w:pPr>
          </w:p>
        </w:tc>
        <w:tc>
          <w:tcPr>
            <w:tcW w:w="1505" w:type="dxa"/>
          </w:tcPr>
          <w:p w:rsidR="004175CC" w:rsidRDefault="004175CC" w:rsidP="00DC724A">
            <w:pPr>
              <w:pStyle w:val="tag"/>
              <w:spacing w:before="0" w:beforeAutospacing="0" w:after="0" w:afterAutospacing="0"/>
              <w:jc w:val="both"/>
            </w:pPr>
          </w:p>
        </w:tc>
        <w:tc>
          <w:tcPr>
            <w:tcW w:w="1559" w:type="dxa"/>
          </w:tcPr>
          <w:p w:rsidR="004175CC" w:rsidRDefault="004175CC" w:rsidP="00DC724A">
            <w:pPr>
              <w:pStyle w:val="tag"/>
              <w:spacing w:before="0" w:beforeAutospacing="0" w:after="0" w:afterAutospacing="0"/>
              <w:jc w:val="both"/>
            </w:pPr>
          </w:p>
        </w:tc>
        <w:tc>
          <w:tcPr>
            <w:tcW w:w="4819" w:type="dxa"/>
          </w:tcPr>
          <w:p w:rsidR="004175CC" w:rsidRDefault="004175CC" w:rsidP="00DC724A">
            <w:pPr>
              <w:pStyle w:val="tag"/>
              <w:spacing w:before="0" w:beforeAutospacing="0" w:after="0" w:afterAutospacing="0"/>
              <w:jc w:val="both"/>
            </w:pPr>
          </w:p>
        </w:tc>
      </w:tr>
    </w:tbl>
    <w:p w:rsidR="004175CC" w:rsidRDefault="004175CC" w:rsidP="004175CC">
      <w:pPr>
        <w:pStyle w:val="tag"/>
        <w:spacing w:before="0" w:beforeAutospacing="0" w:after="0" w:afterAutospacing="0"/>
        <w:ind w:left="720"/>
        <w:jc w:val="both"/>
        <w:rPr>
          <w:b/>
        </w:rPr>
      </w:pPr>
    </w:p>
    <w:p w:rsidR="00B46A40" w:rsidRDefault="00B46A40" w:rsidP="004175CC">
      <w:pPr>
        <w:pStyle w:val="tag"/>
        <w:spacing w:before="0" w:beforeAutospacing="0" w:after="0" w:afterAutospacing="0"/>
        <w:ind w:left="720"/>
        <w:jc w:val="both"/>
        <w:rPr>
          <w:b/>
        </w:rPr>
      </w:pPr>
    </w:p>
    <w:p w:rsidR="00B46A40" w:rsidRDefault="00B46A40" w:rsidP="004175CC">
      <w:pPr>
        <w:pStyle w:val="tag"/>
        <w:spacing w:before="0" w:beforeAutospacing="0" w:after="0" w:afterAutospacing="0"/>
        <w:ind w:left="720"/>
        <w:jc w:val="both"/>
        <w:rPr>
          <w:b/>
        </w:rPr>
      </w:pPr>
    </w:p>
    <w:p w:rsidR="009E2BC0" w:rsidRDefault="009E2BC0" w:rsidP="009E2BC0">
      <w:pPr>
        <w:pStyle w:val="tag"/>
        <w:spacing w:before="0" w:beforeAutospacing="0" w:after="0" w:afterAutospacing="0"/>
        <w:ind w:left="720"/>
        <w:jc w:val="both"/>
        <w:rPr>
          <w:b/>
        </w:rPr>
      </w:pPr>
    </w:p>
    <w:p w:rsidR="004175CC" w:rsidRDefault="004175CC" w:rsidP="009E2BC0">
      <w:pPr>
        <w:pStyle w:val="tag"/>
        <w:numPr>
          <w:ilvl w:val="0"/>
          <w:numId w:val="1"/>
        </w:numPr>
        <w:spacing w:before="0" w:beforeAutospacing="0" w:after="240" w:afterAutospacing="0"/>
        <w:jc w:val="both"/>
        <w:rPr>
          <w:b/>
        </w:rPr>
      </w:pPr>
      <w:r>
        <w:rPr>
          <w:b/>
        </w:rPr>
        <w:lastRenderedPageBreak/>
        <w:t>Quelles règles s’appliquent à la valeur d’une prime ou d’un échantillon (Co</w:t>
      </w:r>
      <w:r w:rsidR="00D23AA6">
        <w:rPr>
          <w:b/>
        </w:rPr>
        <w:t>cher la case correspondante) ? 3</w:t>
      </w:r>
      <w:r>
        <w:rPr>
          <w:b/>
        </w:rPr>
        <w:t xml:space="preserve"> Points </w:t>
      </w:r>
    </w:p>
    <w:tbl>
      <w:tblPr>
        <w:tblStyle w:val="Grille"/>
        <w:tblW w:w="0" w:type="auto"/>
        <w:tblInd w:w="-1026" w:type="dxa"/>
        <w:tblLook w:val="04A0" w:firstRow="1" w:lastRow="0" w:firstColumn="1" w:lastColumn="0" w:noHBand="0" w:noVBand="1"/>
      </w:tblPr>
      <w:tblGrid>
        <w:gridCol w:w="4609"/>
        <w:gridCol w:w="2849"/>
        <w:gridCol w:w="2856"/>
      </w:tblGrid>
      <w:tr w:rsidR="004175CC" w:rsidTr="00B46A40">
        <w:tc>
          <w:tcPr>
            <w:tcW w:w="4609" w:type="dxa"/>
            <w:shd w:val="clear" w:color="auto" w:fill="92CDDC" w:themeFill="accent5" w:themeFillTint="99"/>
          </w:tcPr>
          <w:p w:rsidR="004175CC" w:rsidRDefault="004175CC" w:rsidP="00DC724A">
            <w:pPr>
              <w:pStyle w:val="tag"/>
              <w:spacing w:before="0" w:after="450"/>
              <w:rPr>
                <w:b/>
                <w:bCs/>
              </w:rPr>
            </w:pPr>
          </w:p>
        </w:tc>
        <w:tc>
          <w:tcPr>
            <w:tcW w:w="2849" w:type="dxa"/>
            <w:shd w:val="clear" w:color="auto" w:fill="92CDDC" w:themeFill="accent5" w:themeFillTint="99"/>
          </w:tcPr>
          <w:p w:rsidR="004175CC" w:rsidRPr="006548FE" w:rsidRDefault="004175CC" w:rsidP="00DC724A">
            <w:pPr>
              <w:pStyle w:val="tag"/>
              <w:spacing w:before="0" w:after="450"/>
              <w:jc w:val="center"/>
              <w:rPr>
                <w:b/>
                <w:bCs/>
                <w:sz w:val="32"/>
                <w:szCs w:val="32"/>
              </w:rPr>
            </w:pPr>
            <w:r w:rsidRPr="006548FE">
              <w:rPr>
                <w:b/>
                <w:bCs/>
                <w:sz w:val="32"/>
                <w:szCs w:val="32"/>
              </w:rPr>
              <w:t>VRAI</w:t>
            </w:r>
          </w:p>
        </w:tc>
        <w:tc>
          <w:tcPr>
            <w:tcW w:w="2856" w:type="dxa"/>
            <w:shd w:val="clear" w:color="auto" w:fill="92CDDC" w:themeFill="accent5" w:themeFillTint="99"/>
          </w:tcPr>
          <w:p w:rsidR="004175CC" w:rsidRPr="006548FE" w:rsidRDefault="004175CC" w:rsidP="00DC724A">
            <w:pPr>
              <w:pStyle w:val="tag"/>
              <w:spacing w:before="0" w:after="450"/>
              <w:jc w:val="center"/>
              <w:rPr>
                <w:b/>
                <w:bCs/>
                <w:sz w:val="32"/>
                <w:szCs w:val="32"/>
              </w:rPr>
            </w:pPr>
            <w:r w:rsidRPr="006548FE">
              <w:rPr>
                <w:b/>
                <w:bCs/>
                <w:sz w:val="32"/>
                <w:szCs w:val="32"/>
              </w:rPr>
              <w:t>FAUX</w:t>
            </w:r>
          </w:p>
        </w:tc>
      </w:tr>
      <w:tr w:rsidR="004175CC" w:rsidTr="00B46A40">
        <w:tc>
          <w:tcPr>
            <w:tcW w:w="4609" w:type="dxa"/>
            <w:shd w:val="clear" w:color="auto" w:fill="DAEEF3" w:themeFill="accent5" w:themeFillTint="33"/>
          </w:tcPr>
          <w:p w:rsidR="004175CC" w:rsidRDefault="004175CC" w:rsidP="00DC724A">
            <w:pPr>
              <w:jc w:val="both"/>
            </w:pPr>
            <w:r w:rsidRPr="00406914">
              <w:rPr>
                <w:b/>
                <w:bCs/>
                <w:i/>
              </w:rPr>
              <w:t>Peu importe la valeur, la TVA n’est pas récupérable</w:t>
            </w:r>
          </w:p>
        </w:tc>
        <w:tc>
          <w:tcPr>
            <w:tcW w:w="2849" w:type="dxa"/>
          </w:tcPr>
          <w:p w:rsidR="004175CC" w:rsidRDefault="004175CC" w:rsidP="00DC724A"/>
        </w:tc>
        <w:tc>
          <w:tcPr>
            <w:tcW w:w="2856" w:type="dxa"/>
          </w:tcPr>
          <w:p w:rsidR="004175CC" w:rsidRDefault="004175CC" w:rsidP="00DC724A"/>
        </w:tc>
      </w:tr>
      <w:tr w:rsidR="004175CC" w:rsidTr="00B46A40">
        <w:tc>
          <w:tcPr>
            <w:tcW w:w="4609" w:type="dxa"/>
            <w:shd w:val="clear" w:color="auto" w:fill="DAEEF3" w:themeFill="accent5" w:themeFillTint="33"/>
          </w:tcPr>
          <w:p w:rsidR="004175CC" w:rsidRPr="006548FE" w:rsidRDefault="004175CC" w:rsidP="00DC724A">
            <w:pPr>
              <w:pStyle w:val="tag"/>
              <w:spacing w:before="0" w:after="450"/>
              <w:jc w:val="both"/>
              <w:rPr>
                <w:b/>
                <w:bCs/>
                <w:i/>
              </w:rPr>
            </w:pPr>
            <w:r w:rsidRPr="006548FE">
              <w:rPr>
                <w:b/>
                <w:bCs/>
                <w:i/>
              </w:rPr>
              <w:t>La valeur ne doit pas dépasser 60€ pour récupérer la TVA</w:t>
            </w:r>
          </w:p>
        </w:tc>
        <w:tc>
          <w:tcPr>
            <w:tcW w:w="2849" w:type="dxa"/>
          </w:tcPr>
          <w:p w:rsidR="004175CC" w:rsidRDefault="004175CC" w:rsidP="00DC724A">
            <w:pPr>
              <w:pStyle w:val="tag"/>
              <w:spacing w:before="0" w:after="450"/>
              <w:rPr>
                <w:b/>
                <w:bCs/>
              </w:rPr>
            </w:pPr>
          </w:p>
        </w:tc>
        <w:tc>
          <w:tcPr>
            <w:tcW w:w="2856" w:type="dxa"/>
          </w:tcPr>
          <w:p w:rsidR="004175CC" w:rsidRDefault="004175CC" w:rsidP="00DC724A">
            <w:pPr>
              <w:pStyle w:val="tag"/>
              <w:spacing w:before="0" w:after="450"/>
              <w:rPr>
                <w:b/>
                <w:bCs/>
              </w:rPr>
            </w:pPr>
          </w:p>
        </w:tc>
      </w:tr>
      <w:tr w:rsidR="004175CC" w:rsidTr="00B46A40">
        <w:tc>
          <w:tcPr>
            <w:tcW w:w="4609" w:type="dxa"/>
            <w:shd w:val="clear" w:color="auto" w:fill="DAEEF3" w:themeFill="accent5" w:themeFillTint="33"/>
          </w:tcPr>
          <w:p w:rsidR="004175CC" w:rsidRPr="006548FE" w:rsidRDefault="004175CC" w:rsidP="00DC724A">
            <w:pPr>
              <w:pStyle w:val="tag"/>
              <w:spacing w:before="0" w:after="450"/>
              <w:jc w:val="both"/>
              <w:rPr>
                <w:b/>
                <w:bCs/>
                <w:i/>
              </w:rPr>
            </w:pPr>
            <w:r w:rsidRPr="006548FE">
              <w:rPr>
                <w:b/>
                <w:bCs/>
                <w:i/>
              </w:rPr>
              <w:t xml:space="preserve">La valeur ne doit pas dépasser </w:t>
            </w:r>
            <w:r>
              <w:rPr>
                <w:b/>
                <w:bCs/>
                <w:i/>
              </w:rPr>
              <w:t>5</w:t>
            </w:r>
            <w:r w:rsidRPr="006548FE">
              <w:rPr>
                <w:b/>
                <w:bCs/>
                <w:i/>
              </w:rPr>
              <w:t>5% du prix TTC du produit vendu (si prix &lt; 80€)</w:t>
            </w:r>
          </w:p>
        </w:tc>
        <w:tc>
          <w:tcPr>
            <w:tcW w:w="2849" w:type="dxa"/>
          </w:tcPr>
          <w:p w:rsidR="004175CC" w:rsidRDefault="004175CC" w:rsidP="00DC724A">
            <w:pPr>
              <w:pStyle w:val="tag"/>
              <w:spacing w:before="0" w:after="450"/>
              <w:rPr>
                <w:b/>
                <w:bCs/>
              </w:rPr>
            </w:pPr>
          </w:p>
        </w:tc>
        <w:tc>
          <w:tcPr>
            <w:tcW w:w="2856" w:type="dxa"/>
          </w:tcPr>
          <w:p w:rsidR="004175CC" w:rsidRDefault="004175CC" w:rsidP="00DC724A">
            <w:pPr>
              <w:pStyle w:val="tag"/>
              <w:spacing w:before="0" w:after="450"/>
              <w:rPr>
                <w:b/>
                <w:bCs/>
              </w:rPr>
            </w:pPr>
          </w:p>
        </w:tc>
      </w:tr>
      <w:tr w:rsidR="004175CC" w:rsidTr="00B46A40">
        <w:tc>
          <w:tcPr>
            <w:tcW w:w="4609" w:type="dxa"/>
            <w:shd w:val="clear" w:color="auto" w:fill="DAEEF3" w:themeFill="accent5" w:themeFillTint="33"/>
          </w:tcPr>
          <w:p w:rsidR="004175CC" w:rsidRPr="006548FE" w:rsidRDefault="004175CC" w:rsidP="00DC724A">
            <w:pPr>
              <w:pStyle w:val="tag"/>
              <w:spacing w:before="0" w:after="450"/>
              <w:jc w:val="both"/>
              <w:rPr>
                <w:b/>
                <w:bCs/>
                <w:i/>
              </w:rPr>
            </w:pPr>
            <w:r w:rsidRPr="006548FE">
              <w:rPr>
                <w:b/>
                <w:bCs/>
                <w:i/>
              </w:rPr>
              <w:t>La valeur ne doit pas dépasser 7% du prix TTC du produit vendu (si prix &lt; 80€)</w:t>
            </w:r>
          </w:p>
        </w:tc>
        <w:tc>
          <w:tcPr>
            <w:tcW w:w="2849" w:type="dxa"/>
          </w:tcPr>
          <w:p w:rsidR="004175CC" w:rsidRDefault="004175CC" w:rsidP="00DC724A">
            <w:pPr>
              <w:pStyle w:val="tag"/>
              <w:spacing w:before="0" w:after="450"/>
              <w:rPr>
                <w:b/>
                <w:bCs/>
              </w:rPr>
            </w:pPr>
          </w:p>
        </w:tc>
        <w:tc>
          <w:tcPr>
            <w:tcW w:w="2856" w:type="dxa"/>
          </w:tcPr>
          <w:p w:rsidR="004175CC" w:rsidRDefault="004175CC" w:rsidP="00DC724A">
            <w:pPr>
              <w:pStyle w:val="tag"/>
              <w:spacing w:before="0" w:after="450"/>
              <w:rPr>
                <w:b/>
                <w:bCs/>
              </w:rPr>
            </w:pPr>
          </w:p>
        </w:tc>
      </w:tr>
      <w:tr w:rsidR="004175CC" w:rsidTr="00B46A40">
        <w:tc>
          <w:tcPr>
            <w:tcW w:w="4609" w:type="dxa"/>
            <w:shd w:val="clear" w:color="auto" w:fill="DAEEF3" w:themeFill="accent5" w:themeFillTint="33"/>
          </w:tcPr>
          <w:p w:rsidR="004175CC" w:rsidRPr="006548FE" w:rsidRDefault="004175CC" w:rsidP="00DC724A">
            <w:pPr>
              <w:pStyle w:val="tag"/>
              <w:spacing w:before="0" w:after="450"/>
              <w:jc w:val="both"/>
              <w:rPr>
                <w:b/>
                <w:bCs/>
                <w:i/>
              </w:rPr>
            </w:pPr>
            <w:r w:rsidRPr="006548FE">
              <w:rPr>
                <w:b/>
                <w:bCs/>
                <w:i/>
              </w:rPr>
              <w:t xml:space="preserve">La valeur ne doit pas dépasser </w:t>
            </w:r>
            <w:r>
              <w:rPr>
                <w:b/>
                <w:bCs/>
                <w:i/>
              </w:rPr>
              <w:t>7</w:t>
            </w:r>
            <w:r w:rsidRPr="006548FE">
              <w:rPr>
                <w:b/>
                <w:bCs/>
                <w:i/>
              </w:rPr>
              <w:t>% du prix T</w:t>
            </w:r>
            <w:r>
              <w:rPr>
                <w:b/>
                <w:bCs/>
                <w:i/>
              </w:rPr>
              <w:t>TC du produit vendu (si prix &lt; 15</w:t>
            </w:r>
            <w:r w:rsidRPr="006548FE">
              <w:rPr>
                <w:b/>
                <w:bCs/>
                <w:i/>
              </w:rPr>
              <w:t>0€)</w:t>
            </w:r>
          </w:p>
        </w:tc>
        <w:tc>
          <w:tcPr>
            <w:tcW w:w="2849" w:type="dxa"/>
          </w:tcPr>
          <w:p w:rsidR="004175CC" w:rsidRDefault="004175CC" w:rsidP="00DC724A">
            <w:pPr>
              <w:pStyle w:val="tag"/>
              <w:spacing w:before="0" w:after="450"/>
              <w:rPr>
                <w:b/>
                <w:bCs/>
              </w:rPr>
            </w:pPr>
          </w:p>
        </w:tc>
        <w:tc>
          <w:tcPr>
            <w:tcW w:w="2856" w:type="dxa"/>
          </w:tcPr>
          <w:p w:rsidR="004175CC" w:rsidRDefault="004175CC" w:rsidP="00DC724A">
            <w:pPr>
              <w:pStyle w:val="tag"/>
              <w:spacing w:before="0" w:after="450"/>
              <w:rPr>
                <w:b/>
                <w:bCs/>
              </w:rPr>
            </w:pPr>
          </w:p>
        </w:tc>
      </w:tr>
      <w:tr w:rsidR="004175CC" w:rsidTr="00B46A40">
        <w:tc>
          <w:tcPr>
            <w:tcW w:w="4609" w:type="dxa"/>
            <w:shd w:val="clear" w:color="auto" w:fill="DAEEF3" w:themeFill="accent5" w:themeFillTint="33"/>
          </w:tcPr>
          <w:p w:rsidR="004175CC" w:rsidRPr="006548FE" w:rsidRDefault="004175CC" w:rsidP="00DC724A">
            <w:pPr>
              <w:pStyle w:val="tag"/>
              <w:spacing w:before="0" w:after="450"/>
              <w:jc w:val="both"/>
              <w:rPr>
                <w:b/>
                <w:bCs/>
                <w:i/>
              </w:rPr>
            </w:pPr>
            <w:r w:rsidRPr="006548FE">
              <w:rPr>
                <w:b/>
                <w:bCs/>
                <w:i/>
              </w:rPr>
              <w:t>La valeur ne doit pas dépasser 5€+ 1% du prix TTC du produit vendu (si prix &gt; 80€)</w:t>
            </w:r>
          </w:p>
        </w:tc>
        <w:tc>
          <w:tcPr>
            <w:tcW w:w="2849" w:type="dxa"/>
          </w:tcPr>
          <w:p w:rsidR="004175CC" w:rsidRDefault="004175CC" w:rsidP="00DC724A">
            <w:pPr>
              <w:pStyle w:val="tag"/>
              <w:spacing w:before="0" w:after="450"/>
              <w:rPr>
                <w:b/>
                <w:bCs/>
              </w:rPr>
            </w:pPr>
          </w:p>
        </w:tc>
        <w:tc>
          <w:tcPr>
            <w:tcW w:w="2856" w:type="dxa"/>
          </w:tcPr>
          <w:p w:rsidR="004175CC" w:rsidRDefault="004175CC" w:rsidP="00DC724A">
            <w:pPr>
              <w:pStyle w:val="tag"/>
              <w:spacing w:before="0" w:after="450"/>
              <w:rPr>
                <w:b/>
                <w:bCs/>
              </w:rPr>
            </w:pPr>
          </w:p>
        </w:tc>
      </w:tr>
    </w:tbl>
    <w:p w:rsidR="009E2BC0" w:rsidRDefault="009E2BC0" w:rsidP="009E2BC0">
      <w:pPr>
        <w:rPr>
          <w:rFonts w:ascii="Times New Roman" w:eastAsia="Times New Roman" w:hAnsi="Times New Roman" w:cs="Times New Roman"/>
          <w:b/>
          <w:sz w:val="24"/>
          <w:szCs w:val="24"/>
          <w:lang w:eastAsia="fr-FR"/>
        </w:rPr>
      </w:pPr>
    </w:p>
    <w:p w:rsidR="00B966FA" w:rsidRPr="00D10AC6" w:rsidRDefault="009E2BC0" w:rsidP="009E2BC0">
      <w:pPr>
        <w:pStyle w:val="tag"/>
        <w:spacing w:before="0" w:beforeAutospacing="0" w:after="0" w:afterAutospacing="0" w:line="360" w:lineRule="auto"/>
        <w:jc w:val="both"/>
        <w:rPr>
          <w:b/>
          <w:sz w:val="28"/>
          <w:u w:val="single"/>
        </w:rPr>
      </w:pPr>
      <w:r w:rsidRPr="00D10AC6">
        <w:rPr>
          <w:b/>
          <w:sz w:val="28"/>
          <w:u w:val="single"/>
        </w:rPr>
        <w:t xml:space="preserve">III </w:t>
      </w:r>
      <w:r w:rsidR="00B966FA" w:rsidRPr="00D10AC6">
        <w:rPr>
          <w:b/>
          <w:sz w:val="28"/>
          <w:u w:val="single"/>
        </w:rPr>
        <w:t>La promotion des ventes par la réduction des prix.</w:t>
      </w:r>
    </w:p>
    <w:p w:rsidR="009E2BC0" w:rsidRPr="009E2BC0" w:rsidRDefault="009E2BC0" w:rsidP="009E2BC0">
      <w:pPr>
        <w:pStyle w:val="tag"/>
        <w:numPr>
          <w:ilvl w:val="0"/>
          <w:numId w:val="1"/>
        </w:numPr>
        <w:spacing w:before="0" w:beforeAutospacing="0" w:after="0" w:afterAutospacing="0" w:line="360" w:lineRule="auto"/>
        <w:jc w:val="both"/>
        <w:rPr>
          <w:b/>
        </w:rPr>
      </w:pPr>
      <w:r w:rsidRPr="009E2BC0">
        <w:rPr>
          <w:b/>
        </w:rPr>
        <w:t>Cas pratique</w:t>
      </w:r>
      <w:r w:rsidR="00B46A40">
        <w:rPr>
          <w:b/>
        </w:rPr>
        <w:t xml:space="preserve"> (7 points)</w:t>
      </w:r>
    </w:p>
    <w:p w:rsidR="00B966FA" w:rsidRPr="007D4218" w:rsidRDefault="00B966FA" w:rsidP="009E2BC0">
      <w:pPr>
        <w:pBdr>
          <w:top w:val="single" w:sz="4" w:space="1" w:color="auto"/>
          <w:left w:val="single" w:sz="4" w:space="4" w:color="auto"/>
          <w:bottom w:val="single" w:sz="4" w:space="1" w:color="auto"/>
          <w:right w:val="single" w:sz="4" w:space="4" w:color="auto"/>
        </w:pBdr>
        <w:shd w:val="clear" w:color="auto" w:fill="DAEEF3" w:themeFill="accent5" w:themeFillTint="33"/>
        <w:jc w:val="both"/>
        <w:rPr>
          <w:b/>
          <w:i/>
          <w:sz w:val="28"/>
        </w:rPr>
      </w:pPr>
      <w:r>
        <w:rPr>
          <w:b/>
          <w:i/>
          <w:sz w:val="28"/>
        </w:rPr>
        <w:t>« </w:t>
      </w:r>
      <w:r w:rsidRPr="007D4218">
        <w:rPr>
          <w:b/>
          <w:i/>
          <w:sz w:val="28"/>
        </w:rPr>
        <w:t>Soupçons de fausses promotions : que risque Vente-privée ?</w:t>
      </w:r>
    </w:p>
    <w:p w:rsidR="00B966FA" w:rsidRPr="009E2BC0" w:rsidRDefault="00B966FA" w:rsidP="009E2BC0">
      <w:pPr>
        <w:pBdr>
          <w:top w:val="single" w:sz="4" w:space="1" w:color="auto"/>
          <w:left w:val="single" w:sz="4" w:space="4" w:color="auto"/>
          <w:bottom w:val="single" w:sz="4" w:space="1" w:color="auto"/>
          <w:right w:val="single" w:sz="4" w:space="4" w:color="auto"/>
        </w:pBdr>
        <w:shd w:val="clear" w:color="auto" w:fill="DAEEF3" w:themeFill="accent5" w:themeFillTint="33"/>
        <w:jc w:val="both"/>
        <w:rPr>
          <w:b/>
          <w:i/>
          <w:sz w:val="28"/>
        </w:rPr>
      </w:pPr>
      <w:r w:rsidRPr="007D4218">
        <w:rPr>
          <w:b/>
          <w:i/>
          <w:sz w:val="28"/>
        </w:rPr>
        <w:t xml:space="preserve">Selon les conclusions d’une enquête de la Direction générale de la concurrence, de la consommation et de la répression des fraudes (DGCCRF), Vente-privée (devenu </w:t>
      </w:r>
      <w:proofErr w:type="spellStart"/>
      <w:r w:rsidRPr="007D4218">
        <w:rPr>
          <w:b/>
          <w:i/>
          <w:sz w:val="28"/>
        </w:rPr>
        <w:t>Veepee</w:t>
      </w:r>
      <w:proofErr w:type="spellEnd"/>
      <w:r w:rsidRPr="007D4218">
        <w:rPr>
          <w:b/>
          <w:i/>
          <w:sz w:val="28"/>
        </w:rPr>
        <w:t>) aurait sciemment trompé le consommateur en proposant des réductions fictives</w:t>
      </w:r>
      <w:r>
        <w:rPr>
          <w:b/>
          <w:i/>
          <w:sz w:val="28"/>
        </w:rPr>
        <w:t> »</w:t>
      </w:r>
      <w:r w:rsidRPr="007D4218">
        <w:rPr>
          <w:b/>
          <w:i/>
          <w:sz w:val="28"/>
        </w:rPr>
        <w:t>. </w:t>
      </w:r>
      <w:r w:rsidRPr="001658A9">
        <w:rPr>
          <w:sz w:val="24"/>
          <w:u w:val="single"/>
        </w:rPr>
        <w:t>Source : Entreprendre.fr du 25/01/2019</w:t>
      </w:r>
    </w:p>
    <w:p w:rsidR="00B966FA" w:rsidRPr="009E2BC0" w:rsidRDefault="00B966FA" w:rsidP="009E2BC0">
      <w:pPr>
        <w:jc w:val="both"/>
        <w:rPr>
          <w:b/>
          <w:sz w:val="28"/>
        </w:rPr>
      </w:pPr>
      <w:r w:rsidRPr="001658A9">
        <w:rPr>
          <w:b/>
          <w:sz w:val="28"/>
        </w:rPr>
        <w:t xml:space="preserve">A l’aide de vos connaissances et des annexes, </w:t>
      </w:r>
      <w:r>
        <w:rPr>
          <w:b/>
          <w:sz w:val="28"/>
        </w:rPr>
        <w:t xml:space="preserve">vous </w:t>
      </w:r>
      <w:r w:rsidRPr="001658A9">
        <w:rPr>
          <w:b/>
          <w:sz w:val="28"/>
        </w:rPr>
        <w:t>répond</w:t>
      </w:r>
      <w:r>
        <w:rPr>
          <w:b/>
          <w:sz w:val="28"/>
        </w:rPr>
        <w:t>r</w:t>
      </w:r>
      <w:r w:rsidRPr="001658A9">
        <w:rPr>
          <w:b/>
          <w:sz w:val="28"/>
        </w:rPr>
        <w:t>ez</w:t>
      </w:r>
      <w:r>
        <w:rPr>
          <w:b/>
          <w:sz w:val="28"/>
        </w:rPr>
        <w:t xml:space="preserve"> de manière détaillée et argumentée</w:t>
      </w:r>
      <w:r w:rsidRPr="001658A9">
        <w:rPr>
          <w:b/>
          <w:sz w:val="28"/>
        </w:rPr>
        <w:t xml:space="preserve"> aux questions suivantes.</w:t>
      </w:r>
    </w:p>
    <w:p w:rsidR="00B966FA" w:rsidRDefault="00B966FA" w:rsidP="00B966FA">
      <w:pPr>
        <w:pStyle w:val="Paragraphedeliste"/>
        <w:numPr>
          <w:ilvl w:val="0"/>
          <w:numId w:val="2"/>
        </w:numPr>
        <w:jc w:val="both"/>
        <w:rPr>
          <w:b/>
          <w:sz w:val="28"/>
        </w:rPr>
      </w:pPr>
      <w:r>
        <w:rPr>
          <w:b/>
          <w:sz w:val="28"/>
        </w:rPr>
        <w:t xml:space="preserve">Quelle </w:t>
      </w:r>
      <w:r w:rsidRPr="00D86AEE">
        <w:rPr>
          <w:b/>
          <w:sz w:val="28"/>
        </w:rPr>
        <w:t xml:space="preserve">est la </w:t>
      </w:r>
      <w:r>
        <w:rPr>
          <w:b/>
          <w:sz w:val="28"/>
        </w:rPr>
        <w:t xml:space="preserve">stratégie communication de la société Vente privée </w:t>
      </w:r>
      <w:r w:rsidRPr="00D86AEE">
        <w:rPr>
          <w:b/>
          <w:sz w:val="28"/>
        </w:rPr>
        <w:t>?</w:t>
      </w:r>
    </w:p>
    <w:p w:rsidR="00B966FA" w:rsidRPr="009A4B1B" w:rsidRDefault="00B966FA" w:rsidP="00B966FA">
      <w:pPr>
        <w:pStyle w:val="Paragraphedeliste"/>
        <w:numPr>
          <w:ilvl w:val="0"/>
          <w:numId w:val="2"/>
        </w:numPr>
        <w:jc w:val="both"/>
        <w:rPr>
          <w:b/>
          <w:sz w:val="28"/>
        </w:rPr>
      </w:pPr>
      <w:r>
        <w:rPr>
          <w:b/>
          <w:sz w:val="28"/>
        </w:rPr>
        <w:t>Quelles sont les griefs reprochés à la société ? (Rappeler la règle juridique et ses limites)</w:t>
      </w:r>
      <w:r w:rsidRPr="009A4B1B">
        <w:rPr>
          <w:b/>
          <w:sz w:val="28"/>
        </w:rPr>
        <w:t xml:space="preserve"> </w:t>
      </w:r>
    </w:p>
    <w:p w:rsidR="00B966FA" w:rsidRDefault="00B966FA" w:rsidP="00B966FA">
      <w:pPr>
        <w:pStyle w:val="Paragraphedeliste"/>
        <w:numPr>
          <w:ilvl w:val="0"/>
          <w:numId w:val="2"/>
        </w:numPr>
        <w:jc w:val="both"/>
        <w:rPr>
          <w:b/>
          <w:sz w:val="28"/>
        </w:rPr>
      </w:pPr>
      <w:r w:rsidRPr="00D86AEE">
        <w:rPr>
          <w:b/>
          <w:sz w:val="28"/>
        </w:rPr>
        <w:t>Quelles sont sanctions sont encourues par Vente privée ?</w:t>
      </w:r>
    </w:p>
    <w:p w:rsidR="00B966FA" w:rsidRPr="00D86AEE" w:rsidRDefault="00B966FA" w:rsidP="00B966FA">
      <w:pPr>
        <w:pStyle w:val="Paragraphedeliste"/>
        <w:jc w:val="both"/>
        <w:rPr>
          <w:b/>
          <w:sz w:val="28"/>
        </w:rPr>
      </w:pPr>
    </w:p>
    <w:p w:rsidR="00B966FA" w:rsidRPr="009E2BC0" w:rsidRDefault="00B966FA" w:rsidP="004A038F">
      <w:pPr>
        <w:pBdr>
          <w:top w:val="single" w:sz="4" w:space="1" w:color="auto"/>
          <w:left w:val="single" w:sz="4" w:space="4" w:color="auto"/>
          <w:bottom w:val="single" w:sz="4" w:space="1" w:color="auto"/>
          <w:right w:val="single" w:sz="4" w:space="4" w:color="auto"/>
        </w:pBdr>
        <w:shd w:val="clear" w:color="auto" w:fill="92CDDC" w:themeFill="accent5" w:themeFillTint="99"/>
        <w:jc w:val="center"/>
        <w:rPr>
          <w:b/>
          <w:sz w:val="32"/>
        </w:rPr>
      </w:pPr>
      <w:r w:rsidRPr="009E2BC0">
        <w:rPr>
          <w:b/>
          <w:sz w:val="32"/>
        </w:rPr>
        <w:t>ANNEXES</w:t>
      </w:r>
    </w:p>
    <w:p w:rsidR="00B966FA" w:rsidRPr="005A696C" w:rsidRDefault="00B966FA" w:rsidP="009E2BC0">
      <w:pPr>
        <w:spacing w:after="0"/>
        <w:jc w:val="both"/>
        <w:rPr>
          <w:b/>
          <w:sz w:val="28"/>
        </w:rPr>
      </w:pPr>
      <w:r>
        <w:rPr>
          <w:b/>
          <w:sz w:val="28"/>
        </w:rPr>
        <w:t>ANNEXE 1</w:t>
      </w:r>
      <w:r w:rsidRPr="005A696C">
        <w:rPr>
          <w:b/>
          <w:sz w:val="28"/>
        </w:rPr>
        <w:t> :</w:t>
      </w:r>
      <w:r>
        <w:rPr>
          <w:b/>
          <w:sz w:val="28"/>
        </w:rPr>
        <w:t xml:space="preserve"> </w:t>
      </w:r>
      <w:r w:rsidRPr="005A696C">
        <w:rPr>
          <w:b/>
          <w:sz w:val="28"/>
        </w:rPr>
        <w:t>La liberté de l’annonceur (Arrêté du 11 Mars 2015)</w:t>
      </w:r>
    </w:p>
    <w:p w:rsidR="00B966FA" w:rsidRPr="005A696C" w:rsidRDefault="00B966FA" w:rsidP="00B966FA">
      <w:pPr>
        <w:jc w:val="both"/>
        <w:rPr>
          <w:sz w:val="24"/>
        </w:rPr>
      </w:pPr>
      <w:r w:rsidRPr="005A696C">
        <w:rPr>
          <w:sz w:val="24"/>
        </w:rPr>
        <w:t>L’annonceur est libre dans la détermination du prix de référence et peut donc choisir parmi le prix couramment pratiqué, le prix constaté auprès d’autres enseignes, les prix conseillés, le prix à une date déterminée, le prix moyen de vente, le prix de début de saison, etc.</w:t>
      </w:r>
    </w:p>
    <w:p w:rsidR="00B966FA" w:rsidRDefault="00B966FA" w:rsidP="00B966FA">
      <w:pPr>
        <w:spacing w:after="0"/>
        <w:jc w:val="both"/>
        <w:rPr>
          <w:sz w:val="24"/>
        </w:rPr>
      </w:pPr>
      <w:r w:rsidRPr="005A696C">
        <w:rPr>
          <w:sz w:val="24"/>
        </w:rPr>
        <w:lastRenderedPageBreak/>
        <w:t>En cas de contrôle, l’annonceur doit être en mesure de justifier de la réalité et de la loyauté du prix de référence. Pour ce faire, il peut utiliser tous les moyens de preuve (notes, bordereaux, bons de commande, tickets de caisse, catalogues, prospectus publicitaires, ou tout autre document).</w:t>
      </w:r>
      <w:r>
        <w:rPr>
          <w:sz w:val="24"/>
        </w:rPr>
        <w:t xml:space="preserve"> </w:t>
      </w:r>
    </w:p>
    <w:p w:rsidR="00B966FA" w:rsidRPr="00B966FA" w:rsidRDefault="00B966FA" w:rsidP="00B966FA">
      <w:pPr>
        <w:jc w:val="right"/>
        <w:rPr>
          <w:sz w:val="24"/>
        </w:rPr>
      </w:pPr>
      <w:r w:rsidRPr="001658A9">
        <w:rPr>
          <w:sz w:val="24"/>
          <w:u w:val="single"/>
        </w:rPr>
        <w:t>Source : Entreprendre.fr du 25/01/2019</w:t>
      </w:r>
    </w:p>
    <w:p w:rsidR="00B966FA" w:rsidRPr="007D4218" w:rsidRDefault="00B966FA" w:rsidP="009E2BC0">
      <w:pPr>
        <w:spacing w:after="0"/>
        <w:jc w:val="both"/>
        <w:rPr>
          <w:b/>
          <w:sz w:val="28"/>
        </w:rPr>
      </w:pPr>
      <w:r w:rsidRPr="007D4218">
        <w:rPr>
          <w:b/>
          <w:sz w:val="28"/>
        </w:rPr>
        <w:t>ANNEXE 2 : Article L121-1 du Code du commerce</w:t>
      </w:r>
    </w:p>
    <w:p w:rsidR="00B966FA" w:rsidRPr="007D4218" w:rsidRDefault="00B966FA" w:rsidP="00B966FA">
      <w:pPr>
        <w:pStyle w:val="Paragraphedeliste"/>
        <w:numPr>
          <w:ilvl w:val="0"/>
          <w:numId w:val="3"/>
        </w:numPr>
        <w:jc w:val="both"/>
        <w:rPr>
          <w:sz w:val="24"/>
        </w:rPr>
      </w:pPr>
      <w:r w:rsidRPr="007D4218">
        <w:rPr>
          <w:sz w:val="24"/>
        </w:rPr>
        <w:t>Une pratique commerciale est trompeuse si elle est commise dans l'une des circonstances suivantes :</w:t>
      </w:r>
    </w:p>
    <w:p w:rsidR="00B966FA" w:rsidRPr="007D4218" w:rsidRDefault="00B966FA" w:rsidP="00B966FA">
      <w:pPr>
        <w:jc w:val="both"/>
        <w:rPr>
          <w:sz w:val="24"/>
        </w:rPr>
      </w:pPr>
      <w:r w:rsidRPr="007D4218">
        <w:rPr>
          <w:sz w:val="24"/>
        </w:rPr>
        <w:t>1° Lorsqu'elle crée une confusion avec un autre bien ou service, une marque, un nom commercial, ou un autre signe distinctif d'un concurrent ;</w:t>
      </w:r>
    </w:p>
    <w:p w:rsidR="00B966FA" w:rsidRPr="007D4218" w:rsidRDefault="00B966FA" w:rsidP="00B966FA">
      <w:pPr>
        <w:jc w:val="both"/>
        <w:rPr>
          <w:sz w:val="24"/>
        </w:rPr>
      </w:pPr>
      <w:r w:rsidRPr="007D4218">
        <w:rPr>
          <w:sz w:val="24"/>
        </w:rPr>
        <w:t>2° Lorsqu'elle repose sur des allégations, indications ou présentations fausses ou de nature à induire en erreur et portant sur l'un ou plusieurs des éléments suivants :</w:t>
      </w:r>
    </w:p>
    <w:p w:rsidR="00B966FA" w:rsidRPr="007D4218" w:rsidRDefault="00B966FA" w:rsidP="00B966FA">
      <w:pPr>
        <w:jc w:val="both"/>
        <w:rPr>
          <w:sz w:val="24"/>
        </w:rPr>
      </w:pPr>
      <w:r w:rsidRPr="007D4218">
        <w:rPr>
          <w:sz w:val="24"/>
        </w:rPr>
        <w:t>a) L'existence, la disponibilité ou la nature du bien ou du service ;</w:t>
      </w:r>
    </w:p>
    <w:p w:rsidR="00B966FA" w:rsidRPr="007D4218" w:rsidRDefault="00B966FA" w:rsidP="00B966FA">
      <w:pPr>
        <w:jc w:val="both"/>
        <w:rPr>
          <w:sz w:val="24"/>
        </w:rPr>
      </w:pPr>
      <w:r w:rsidRPr="007D4218">
        <w:rPr>
          <w:sz w:val="24"/>
        </w:rPr>
        <w:t>b) Les caractéristiques essentielles du bien ou du service, à savoir : ses qualités substantielles, sa composition, ses accessoires, son origine, sa quantité, son mode et sa date de fabrication, les conditions de son utilisation et son aptitude à l'usage, ses propriétés et les résultats attendus de son utilisation, ainsi que les résultats et les principales caractéristiques des tests et contrôles effectués sur le bien ou le service ;</w:t>
      </w:r>
    </w:p>
    <w:p w:rsidR="00B966FA" w:rsidRDefault="00B966FA" w:rsidP="00B966FA">
      <w:pPr>
        <w:spacing w:after="0"/>
        <w:jc w:val="both"/>
        <w:rPr>
          <w:sz w:val="24"/>
        </w:rPr>
      </w:pPr>
      <w:r w:rsidRPr="007D4218">
        <w:rPr>
          <w:sz w:val="24"/>
        </w:rPr>
        <w:t>c) Le prix ou le mode de calcul du prix, le caractère promotionnel du prix et les conditions de vente, de paiement et de livraison du bien ou du service ;(…)</w:t>
      </w:r>
    </w:p>
    <w:p w:rsidR="00B966FA" w:rsidRPr="001658A9" w:rsidRDefault="00B966FA" w:rsidP="00B966FA">
      <w:pPr>
        <w:jc w:val="right"/>
        <w:rPr>
          <w:sz w:val="24"/>
          <w:u w:val="single"/>
        </w:rPr>
      </w:pPr>
      <w:r w:rsidRPr="001658A9">
        <w:rPr>
          <w:sz w:val="24"/>
          <w:u w:val="single"/>
        </w:rPr>
        <w:t>Source : Legifrance.fr</w:t>
      </w:r>
    </w:p>
    <w:p w:rsidR="00B966FA" w:rsidRPr="007D4218" w:rsidRDefault="00B966FA" w:rsidP="009E2BC0">
      <w:pPr>
        <w:spacing w:after="0"/>
        <w:jc w:val="both"/>
        <w:rPr>
          <w:b/>
          <w:sz w:val="28"/>
        </w:rPr>
      </w:pPr>
      <w:r w:rsidRPr="007D4218">
        <w:rPr>
          <w:b/>
          <w:sz w:val="28"/>
        </w:rPr>
        <w:t>ANNEXE 3 : Article L132-2 Code de la consommation</w:t>
      </w:r>
    </w:p>
    <w:p w:rsidR="00B966FA" w:rsidRDefault="00B966FA" w:rsidP="00B966FA">
      <w:pPr>
        <w:jc w:val="both"/>
        <w:rPr>
          <w:sz w:val="24"/>
        </w:rPr>
      </w:pPr>
      <w:r w:rsidRPr="007D4218">
        <w:rPr>
          <w:sz w:val="24"/>
        </w:rPr>
        <w:t>Les pratiques commerciales trompeuses (…) sont punies d'un emprisonnement de deux ans et d'une amende de 300 000 euros.</w:t>
      </w:r>
    </w:p>
    <w:p w:rsidR="00B966FA" w:rsidRPr="007D4218" w:rsidRDefault="00B966FA" w:rsidP="00B966FA">
      <w:pPr>
        <w:jc w:val="both"/>
        <w:rPr>
          <w:sz w:val="24"/>
        </w:rPr>
      </w:pPr>
      <w:r>
        <w:rPr>
          <w:sz w:val="24"/>
        </w:rPr>
        <w:t> </w:t>
      </w:r>
      <w:r w:rsidRPr="007D4218">
        <w:rPr>
          <w:sz w:val="24"/>
        </w:rPr>
        <w:t>Le montant de l'amende peut être porté, de manière proportionnée aux avantages tirés du délit, à 10 % du chiffre d'affaires moyen annuel, calculé sur les trois derniers chiffres d'affaires annuels connus à la date des faits, ou à 50 % des dépenses engagées pour la réalisation de la publicité ou de la pratique constituant ce délit.</w:t>
      </w:r>
    </w:p>
    <w:p w:rsidR="00B966FA" w:rsidRPr="007D4218" w:rsidRDefault="00B966FA" w:rsidP="009E2BC0">
      <w:pPr>
        <w:spacing w:after="0"/>
        <w:jc w:val="both"/>
        <w:rPr>
          <w:b/>
          <w:sz w:val="28"/>
        </w:rPr>
      </w:pPr>
      <w:r w:rsidRPr="007D4218">
        <w:rPr>
          <w:b/>
          <w:sz w:val="28"/>
        </w:rPr>
        <w:t>ANNEXE  4 : Article 131-38 du Code pénal</w:t>
      </w:r>
    </w:p>
    <w:p w:rsidR="00B966FA" w:rsidRPr="007D4218" w:rsidRDefault="00B966FA" w:rsidP="00B966FA">
      <w:pPr>
        <w:jc w:val="both"/>
        <w:rPr>
          <w:sz w:val="24"/>
        </w:rPr>
      </w:pPr>
      <w:r w:rsidRPr="007D4218">
        <w:rPr>
          <w:sz w:val="24"/>
        </w:rPr>
        <w:t>Le taux maximum de l'amende applicable aux personnes morales est égal au quintuple de celui prévu pour les personnes physiques par la loi qui réprime l'infraction.</w:t>
      </w:r>
    </w:p>
    <w:p w:rsidR="00B966FA" w:rsidRPr="007D4218" w:rsidRDefault="00B966FA" w:rsidP="009E2BC0">
      <w:pPr>
        <w:spacing w:after="0"/>
        <w:jc w:val="both"/>
        <w:rPr>
          <w:sz w:val="24"/>
        </w:rPr>
      </w:pPr>
      <w:r w:rsidRPr="007D4218">
        <w:rPr>
          <w:sz w:val="24"/>
        </w:rPr>
        <w:t>Lorsqu'il s'agit d'un crime pour lequel aucune peine d'amende n'est prévue à l'encontre des personnes physiques, l'amende encourue par les personnes morales est de 1 000 000 euros.</w:t>
      </w:r>
    </w:p>
    <w:p w:rsidR="00B966FA" w:rsidRPr="009E2BC0" w:rsidRDefault="00B966FA" w:rsidP="009E2BC0">
      <w:pPr>
        <w:jc w:val="right"/>
        <w:rPr>
          <w:sz w:val="24"/>
          <w:u w:val="single"/>
        </w:rPr>
      </w:pPr>
      <w:r w:rsidRPr="001658A9">
        <w:rPr>
          <w:sz w:val="24"/>
          <w:u w:val="single"/>
        </w:rPr>
        <w:t>Source : Legifrance.fr</w:t>
      </w:r>
    </w:p>
    <w:sectPr w:rsidR="00B966FA" w:rsidRPr="009E2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E0F"/>
    <w:multiLevelType w:val="hybridMultilevel"/>
    <w:tmpl w:val="6C7898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A43382"/>
    <w:multiLevelType w:val="hybridMultilevel"/>
    <w:tmpl w:val="7FC07A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DB3A63"/>
    <w:multiLevelType w:val="hybridMultilevel"/>
    <w:tmpl w:val="584CB79C"/>
    <w:lvl w:ilvl="0" w:tplc="98103D7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CC"/>
    <w:rsid w:val="004175CC"/>
    <w:rsid w:val="004A038F"/>
    <w:rsid w:val="004E28F5"/>
    <w:rsid w:val="00924AA8"/>
    <w:rsid w:val="009E2BC0"/>
    <w:rsid w:val="00B46A40"/>
    <w:rsid w:val="00B706AA"/>
    <w:rsid w:val="00B966FA"/>
    <w:rsid w:val="00D10AC6"/>
    <w:rsid w:val="00D23A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g">
    <w:name w:val="tag"/>
    <w:basedOn w:val="Normal"/>
    <w:rsid w:val="004175C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
    <w:name w:val="Table Grid"/>
    <w:basedOn w:val="TableauNormal"/>
    <w:uiPriority w:val="59"/>
    <w:rsid w:val="00417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966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g">
    <w:name w:val="tag"/>
    <w:basedOn w:val="Normal"/>
    <w:rsid w:val="004175C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
    <w:name w:val="Table Grid"/>
    <w:basedOn w:val="TableauNormal"/>
    <w:uiPriority w:val="59"/>
    <w:rsid w:val="00417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96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4367</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SFAPI</dc:creator>
  <cp:lastModifiedBy>champa chey</cp:lastModifiedBy>
  <cp:revision>2</cp:revision>
  <dcterms:created xsi:type="dcterms:W3CDTF">2020-04-08T06:53:00Z</dcterms:created>
  <dcterms:modified xsi:type="dcterms:W3CDTF">2020-04-08T06:53:00Z</dcterms:modified>
</cp:coreProperties>
</file>