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31" w:rsidRPr="00583C31" w:rsidRDefault="00583C31" w:rsidP="00583C31">
      <w:pPr>
        <w:spacing w:before="375" w:after="300" w:line="840" w:lineRule="atLeast"/>
        <w:ind w:left="600" w:right="600"/>
        <w:textAlignment w:val="baseline"/>
        <w:outlineLvl w:val="0"/>
        <w:rPr>
          <w:rFonts w:ascii="&amp;quot" w:eastAsia="Times New Roman" w:hAnsi="&amp;quot" w:cs="Times New Roman"/>
          <w:b/>
          <w:bCs/>
          <w:color w:val="222222"/>
          <w:kern w:val="36"/>
          <w:sz w:val="66"/>
          <w:szCs w:val="66"/>
          <w:lang w:eastAsia="fr-FR"/>
        </w:rPr>
      </w:pPr>
      <w:r w:rsidRPr="00583C31">
        <w:rPr>
          <w:rFonts w:ascii="&amp;quot" w:eastAsia="Times New Roman" w:hAnsi="&amp;quot" w:cs="Times New Roman"/>
          <w:b/>
          <w:bCs/>
          <w:color w:val="222222"/>
          <w:kern w:val="36"/>
          <w:sz w:val="66"/>
          <w:szCs w:val="66"/>
          <w:lang w:eastAsia="fr-FR"/>
        </w:rPr>
        <w:t>Inventaire des stocks</w:t>
      </w:r>
    </w:p>
    <w:p w:rsidR="00583C31" w:rsidRPr="00583C31" w:rsidRDefault="00583C31" w:rsidP="00583C31">
      <w:pPr>
        <w:spacing w:after="0" w:line="210" w:lineRule="atLeast"/>
        <w:ind w:left="360"/>
        <w:textAlignment w:val="top"/>
        <w:rPr>
          <w:rFonts w:ascii="&amp;quot" w:eastAsia="Times New Roman" w:hAnsi="&amp;quot" w:cs="Times New Roman"/>
          <w:color w:val="787878"/>
          <w:sz w:val="21"/>
          <w:szCs w:val="21"/>
          <w:lang w:eastAsia="fr-FR"/>
        </w:rPr>
      </w:pPr>
    </w:p>
    <w:p w:rsidR="00583C31" w:rsidRPr="00583C31" w:rsidRDefault="00583C31" w:rsidP="00583C31">
      <w:pPr>
        <w:spacing w:line="210" w:lineRule="atLeast"/>
        <w:ind w:left="360"/>
        <w:textAlignment w:val="top"/>
        <w:rPr>
          <w:rFonts w:ascii="&amp;quot" w:eastAsia="Times New Roman" w:hAnsi="&amp;quot" w:cs="Times New Roman"/>
          <w:color w:val="787878"/>
          <w:sz w:val="21"/>
          <w:szCs w:val="21"/>
          <w:lang w:eastAsia="fr-FR"/>
        </w:rPr>
      </w:pPr>
      <w:bookmarkStart w:id="0" w:name="_GoBack"/>
      <w:bookmarkEnd w:id="0"/>
    </w:p>
    <w:p w:rsidR="00583C31" w:rsidRPr="00583C31" w:rsidRDefault="00583C31" w:rsidP="00583C31">
      <w:pPr>
        <w:spacing w:after="450" w:line="420" w:lineRule="atLeast"/>
        <w:textAlignment w:val="baseline"/>
        <w:rPr>
          <w:rFonts w:ascii="&amp;quot" w:eastAsia="Times New Roman" w:hAnsi="&amp;quot" w:cs="Times New Roman"/>
          <w:color w:val="222222"/>
          <w:sz w:val="26"/>
          <w:szCs w:val="26"/>
          <w:lang w:eastAsia="fr-FR"/>
        </w:rPr>
      </w:pPr>
      <w:r w:rsidRPr="00583C31">
        <w:rPr>
          <w:rFonts w:ascii="&amp;quot" w:eastAsia="Times New Roman" w:hAnsi="&amp;quot" w:cs="Times New Roman"/>
          <w:color w:val="222222"/>
          <w:sz w:val="26"/>
          <w:szCs w:val="26"/>
          <w:lang w:eastAsia="fr-FR"/>
        </w:rPr>
        <w:t>L'inventaire des stocks est une étape obligatoire pour tout commerçant. Cet inventaire permet de mieux gérer les approvisionnements, mais aussi de calculer les variations de stock.</w:t>
      </w:r>
    </w:p>
    <w:p w:rsidR="00583C31" w:rsidRPr="00583C31" w:rsidRDefault="00583C31" w:rsidP="00583C31">
      <w:pPr>
        <w:spacing w:after="0" w:line="480" w:lineRule="atLeast"/>
        <w:textAlignment w:val="baseline"/>
        <w:outlineLvl w:val="1"/>
        <w:rPr>
          <w:rFonts w:ascii="&amp;quot" w:eastAsia="Times New Roman" w:hAnsi="&amp;quot" w:cs="Times New Roman"/>
          <w:b/>
          <w:bCs/>
          <w:color w:val="222222"/>
          <w:sz w:val="33"/>
          <w:szCs w:val="33"/>
          <w:lang w:eastAsia="fr-FR"/>
        </w:rPr>
      </w:pPr>
      <w:r w:rsidRPr="00583C31">
        <w:rPr>
          <w:rFonts w:ascii="&amp;quot" w:eastAsia="Times New Roman" w:hAnsi="&amp;quot" w:cs="Times New Roman"/>
          <w:b/>
          <w:bCs/>
          <w:color w:val="222222"/>
          <w:sz w:val="33"/>
          <w:szCs w:val="33"/>
          <w:bdr w:val="none" w:sz="0" w:space="0" w:color="auto" w:frame="1"/>
          <w:lang w:eastAsia="fr-FR"/>
        </w:rPr>
        <w:t>Qu'est-ce que l'inventaire des stocks ?</w:t>
      </w:r>
    </w:p>
    <w:p w:rsidR="00583C31" w:rsidRPr="00583C31" w:rsidRDefault="00583C31" w:rsidP="00583C31">
      <w:pPr>
        <w:spacing w:after="450" w:line="420" w:lineRule="atLeast"/>
        <w:textAlignment w:val="baseline"/>
        <w:rPr>
          <w:rFonts w:ascii="&amp;quot" w:eastAsia="Times New Roman" w:hAnsi="&amp;quot" w:cs="Times New Roman"/>
          <w:color w:val="222222"/>
          <w:sz w:val="26"/>
          <w:szCs w:val="26"/>
          <w:lang w:eastAsia="fr-FR"/>
        </w:rPr>
      </w:pPr>
      <w:r w:rsidRPr="00583C31">
        <w:rPr>
          <w:rFonts w:ascii="&amp;quot" w:eastAsia="Times New Roman" w:hAnsi="&amp;quot" w:cs="Times New Roman"/>
          <w:color w:val="222222"/>
          <w:sz w:val="26"/>
          <w:szCs w:val="26"/>
          <w:lang w:eastAsia="fr-FR"/>
        </w:rPr>
        <w:t>Un inventaire des stocks doit être fait au moins une fois par an dans chaque entreprise jouant un rôle commercial. Durant un exercice, chaque produit doit être comptabilisé au moins une fois. Lors de cet inventaire, tous les stocks sont comptabilisés, aussi bien les matières premières que les biens finis encore en production, les biens finis prêts à la vente ou encore les consommables et les emballages.</w:t>
      </w:r>
    </w:p>
    <w:p w:rsidR="00583C31" w:rsidRPr="00583C31" w:rsidRDefault="00583C31" w:rsidP="00583C31">
      <w:pPr>
        <w:spacing w:after="0" w:line="480" w:lineRule="atLeast"/>
        <w:textAlignment w:val="baseline"/>
        <w:outlineLvl w:val="1"/>
        <w:rPr>
          <w:rFonts w:ascii="&amp;quot" w:eastAsia="Times New Roman" w:hAnsi="&amp;quot" w:cs="Times New Roman"/>
          <w:b/>
          <w:bCs/>
          <w:color w:val="222222"/>
          <w:sz w:val="33"/>
          <w:szCs w:val="33"/>
          <w:lang w:eastAsia="fr-FR"/>
        </w:rPr>
      </w:pPr>
      <w:r w:rsidRPr="00583C31">
        <w:rPr>
          <w:rFonts w:ascii="&amp;quot" w:eastAsia="Times New Roman" w:hAnsi="&amp;quot" w:cs="Times New Roman"/>
          <w:b/>
          <w:bCs/>
          <w:color w:val="222222"/>
          <w:sz w:val="33"/>
          <w:szCs w:val="33"/>
          <w:bdr w:val="none" w:sz="0" w:space="0" w:color="auto" w:frame="1"/>
          <w:lang w:eastAsia="fr-FR"/>
        </w:rPr>
        <w:t>Comment procéder à l'inventaire des stocks ?</w:t>
      </w:r>
    </w:p>
    <w:p w:rsidR="00583C31" w:rsidRPr="00583C31" w:rsidRDefault="00583C31" w:rsidP="00583C31">
      <w:pPr>
        <w:spacing w:after="0" w:line="420" w:lineRule="atLeast"/>
        <w:textAlignment w:val="baseline"/>
        <w:rPr>
          <w:rFonts w:ascii="&amp;quot" w:eastAsia="Times New Roman" w:hAnsi="&amp;quot" w:cs="Times New Roman"/>
          <w:color w:val="222222"/>
          <w:sz w:val="26"/>
          <w:szCs w:val="26"/>
          <w:lang w:eastAsia="fr-FR"/>
        </w:rPr>
      </w:pPr>
      <w:r w:rsidRPr="00583C31">
        <w:rPr>
          <w:rFonts w:ascii="&amp;quot" w:eastAsia="Times New Roman" w:hAnsi="&amp;quot" w:cs="Times New Roman"/>
          <w:color w:val="222222"/>
          <w:sz w:val="26"/>
          <w:szCs w:val="26"/>
          <w:lang w:eastAsia="fr-FR"/>
        </w:rPr>
        <w:t xml:space="preserve">L'entreprise a le libre choix entre deux types d'inventaire des stocks : l'inventaire annuel et l'inventaire tournant. Le premier s'effectue une fois par an : c'est lui qui marque à la fois l'ouverture et la </w:t>
      </w:r>
      <w:hyperlink r:id="rId5" w:history="1">
        <w:r w:rsidRPr="00583C31">
          <w:rPr>
            <w:rFonts w:ascii="&amp;quot" w:eastAsia="Times New Roman" w:hAnsi="&amp;quot" w:cs="Times New Roman"/>
            <w:color w:val="000000"/>
            <w:sz w:val="26"/>
            <w:szCs w:val="26"/>
            <w:bdr w:val="none" w:sz="0" w:space="0" w:color="auto" w:frame="1"/>
            <w:lang w:eastAsia="fr-FR"/>
          </w:rPr>
          <w:t>clôture</w:t>
        </w:r>
      </w:hyperlink>
      <w:r w:rsidRPr="00583C31">
        <w:rPr>
          <w:rFonts w:ascii="&amp;quot" w:eastAsia="Times New Roman" w:hAnsi="&amp;quot" w:cs="Times New Roman"/>
          <w:color w:val="222222"/>
          <w:sz w:val="26"/>
          <w:szCs w:val="26"/>
          <w:lang w:eastAsia="fr-FR"/>
        </w:rPr>
        <w:t xml:space="preserve"> de l'exercice. Lors d'un inventaire annuel, l'activité de l'entreprise est entièrement interrompue. L'inventaire tournant, quant à lui, consiste à compter les stocks en procédant par étape, soit par type de produits, soit par rayons, soit par lots, etc. Cette méthode de comptage est moins pénalisante pour l'entreprise, qui a la possibilité de ne procéder qu'à un arrêt partiel de son activité. L'inventaire tournant peut par ailleurs être effectué à différentes périodes de l'année. Attention : durant un inventaire des stocks, il est important de veiller à ce qu'un même produit ne soit comptabilisé qu'une seule fois.</w:t>
      </w:r>
    </w:p>
    <w:p w:rsidR="00583C31" w:rsidRPr="00583C31" w:rsidRDefault="00583C31" w:rsidP="00583C31">
      <w:pPr>
        <w:spacing w:line="360" w:lineRule="atLeast"/>
        <w:textAlignment w:val="baseline"/>
        <w:rPr>
          <w:rFonts w:ascii="&amp;quot" w:eastAsia="Times New Roman" w:hAnsi="&amp;quot" w:cs="Times New Roman"/>
          <w:color w:val="787878"/>
          <w:sz w:val="24"/>
          <w:szCs w:val="24"/>
          <w:lang w:eastAsia="fr-FR"/>
        </w:rPr>
      </w:pPr>
      <w:r w:rsidRPr="00583C31">
        <w:rPr>
          <w:rFonts w:ascii="&amp;quot" w:eastAsia="Times New Roman" w:hAnsi="&amp;quot" w:cs="Times New Roman"/>
          <w:color w:val="787878"/>
          <w:sz w:val="24"/>
          <w:szCs w:val="24"/>
          <w:lang w:eastAsia="fr-FR"/>
        </w:rPr>
        <w:t xml:space="preserve">Publié par </w:t>
      </w:r>
      <w:r w:rsidRPr="00583C31">
        <w:rPr>
          <w:rFonts w:ascii="&amp;quot" w:eastAsia="Times New Roman" w:hAnsi="&amp;quot" w:cs="Times New Roman"/>
          <w:color w:val="787878"/>
          <w:sz w:val="24"/>
          <w:szCs w:val="24"/>
          <w:bdr w:val="none" w:sz="0" w:space="0" w:color="auto" w:frame="1"/>
          <w:lang w:eastAsia="fr-FR"/>
        </w:rPr>
        <w:t xml:space="preserve">Fanny Perrin d' </w:t>
      </w:r>
      <w:proofErr w:type="spellStart"/>
      <w:r w:rsidRPr="00583C31">
        <w:rPr>
          <w:rFonts w:ascii="&amp;quot" w:eastAsia="Times New Roman" w:hAnsi="&amp;quot" w:cs="Times New Roman"/>
          <w:color w:val="787878"/>
          <w:sz w:val="24"/>
          <w:szCs w:val="24"/>
          <w:bdr w:val="none" w:sz="0" w:space="0" w:color="auto" w:frame="1"/>
          <w:lang w:eastAsia="fr-FR"/>
        </w:rPr>
        <w:t>Arloz</w:t>
      </w:r>
      <w:proofErr w:type="spellEnd"/>
      <w:r w:rsidRPr="00583C31">
        <w:rPr>
          <w:rFonts w:ascii="&amp;quot" w:eastAsia="Times New Roman" w:hAnsi="&amp;quot" w:cs="Times New Roman"/>
          <w:color w:val="787878"/>
          <w:sz w:val="24"/>
          <w:szCs w:val="24"/>
          <w:lang w:eastAsia="fr-FR"/>
        </w:rPr>
        <w:t xml:space="preserve"> le 29 janv. 2018 - mis à jour à 09:00 </w:t>
      </w:r>
    </w:p>
    <w:p w:rsidR="001D3160" w:rsidRDefault="001D3160"/>
    <w:sectPr w:rsidR="001D3160" w:rsidSect="000B40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F8C"/>
    <w:multiLevelType w:val="multilevel"/>
    <w:tmpl w:val="760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15BDD"/>
    <w:multiLevelType w:val="multilevel"/>
    <w:tmpl w:val="E2DC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3C31"/>
    <w:rsid w:val="000B4018"/>
    <w:rsid w:val="001D3160"/>
    <w:rsid w:val="00583C31"/>
    <w:rsid w:val="00FF1D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1457343">
      <w:bodyDiv w:val="1"/>
      <w:marLeft w:val="0"/>
      <w:marRight w:val="0"/>
      <w:marTop w:val="0"/>
      <w:marBottom w:val="0"/>
      <w:divBdr>
        <w:top w:val="none" w:sz="0" w:space="0" w:color="auto"/>
        <w:left w:val="none" w:sz="0" w:space="0" w:color="auto"/>
        <w:bottom w:val="none" w:sz="0" w:space="0" w:color="auto"/>
        <w:right w:val="none" w:sz="0" w:space="0" w:color="auto"/>
      </w:divBdr>
      <w:divsChild>
        <w:div w:id="2042321327">
          <w:marLeft w:val="0"/>
          <w:marRight w:val="0"/>
          <w:marTop w:val="0"/>
          <w:marBottom w:val="0"/>
          <w:divBdr>
            <w:top w:val="none" w:sz="0" w:space="0" w:color="auto"/>
            <w:left w:val="none" w:sz="0" w:space="0" w:color="auto"/>
            <w:bottom w:val="none" w:sz="0" w:space="0" w:color="auto"/>
            <w:right w:val="none" w:sz="0" w:space="0" w:color="auto"/>
          </w:divBdr>
          <w:divsChild>
            <w:div w:id="1391224389">
              <w:marLeft w:val="0"/>
              <w:marRight w:val="0"/>
              <w:marTop w:val="0"/>
              <w:marBottom w:val="0"/>
              <w:divBdr>
                <w:top w:val="none" w:sz="0" w:space="0" w:color="auto"/>
                <w:left w:val="none" w:sz="0" w:space="0" w:color="auto"/>
                <w:bottom w:val="none" w:sz="0" w:space="0" w:color="auto"/>
                <w:right w:val="none" w:sz="0" w:space="0" w:color="auto"/>
              </w:divBdr>
            </w:div>
            <w:div w:id="1552035570">
              <w:marLeft w:val="0"/>
              <w:marRight w:val="0"/>
              <w:marTop w:val="0"/>
              <w:marBottom w:val="450"/>
              <w:divBdr>
                <w:top w:val="none" w:sz="0" w:space="0" w:color="auto"/>
                <w:left w:val="none" w:sz="0" w:space="0" w:color="auto"/>
                <w:bottom w:val="none" w:sz="0" w:space="0" w:color="auto"/>
                <w:right w:val="none" w:sz="0" w:space="0" w:color="auto"/>
              </w:divBdr>
              <w:divsChild>
                <w:div w:id="396130029">
                  <w:marLeft w:val="0"/>
                  <w:marRight w:val="0"/>
                  <w:marTop w:val="0"/>
                  <w:marBottom w:val="0"/>
                  <w:divBdr>
                    <w:top w:val="none" w:sz="0" w:space="0" w:color="auto"/>
                    <w:left w:val="none" w:sz="0" w:space="0" w:color="auto"/>
                    <w:bottom w:val="none" w:sz="0" w:space="0" w:color="auto"/>
                    <w:right w:val="none" w:sz="0" w:space="0" w:color="auto"/>
                  </w:divBdr>
                  <w:divsChild>
                    <w:div w:id="1533109783">
                      <w:marLeft w:val="0"/>
                      <w:marRight w:val="0"/>
                      <w:marTop w:val="0"/>
                      <w:marBottom w:val="0"/>
                      <w:divBdr>
                        <w:top w:val="none" w:sz="0" w:space="0" w:color="auto"/>
                        <w:left w:val="none" w:sz="0" w:space="0" w:color="auto"/>
                        <w:bottom w:val="none" w:sz="0" w:space="0" w:color="auto"/>
                        <w:right w:val="none" w:sz="0" w:space="0" w:color="auto"/>
                      </w:divBdr>
                      <w:divsChild>
                        <w:div w:id="1450585117">
                          <w:marLeft w:val="0"/>
                          <w:marRight w:val="0"/>
                          <w:marTop w:val="0"/>
                          <w:marBottom w:val="0"/>
                          <w:divBdr>
                            <w:top w:val="none" w:sz="0" w:space="0" w:color="auto"/>
                            <w:left w:val="none" w:sz="0" w:space="0" w:color="auto"/>
                            <w:bottom w:val="none" w:sz="0" w:space="0" w:color="auto"/>
                            <w:right w:val="none" w:sz="0" w:space="0" w:color="auto"/>
                          </w:divBdr>
                          <w:divsChild>
                            <w:div w:id="3459132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1555099">
              <w:marLeft w:val="-450"/>
              <w:marRight w:val="0"/>
              <w:marTop w:val="0"/>
              <w:marBottom w:val="450"/>
              <w:divBdr>
                <w:top w:val="none" w:sz="0" w:space="0" w:color="auto"/>
                <w:left w:val="none" w:sz="0" w:space="0" w:color="auto"/>
                <w:bottom w:val="none" w:sz="0" w:space="0" w:color="auto"/>
                <w:right w:val="none" w:sz="0" w:space="0" w:color="auto"/>
              </w:divBdr>
            </w:div>
            <w:div w:id="135338419">
              <w:marLeft w:val="0"/>
              <w:marRight w:val="0"/>
              <w:marTop w:val="0"/>
              <w:marBottom w:val="0"/>
              <w:divBdr>
                <w:top w:val="none" w:sz="0" w:space="0" w:color="auto"/>
                <w:left w:val="none" w:sz="0" w:space="0" w:color="auto"/>
                <w:bottom w:val="none" w:sz="0" w:space="0" w:color="auto"/>
                <w:right w:val="none" w:sz="0" w:space="0" w:color="auto"/>
              </w:divBdr>
              <w:divsChild>
                <w:div w:id="402871075">
                  <w:marLeft w:val="0"/>
                  <w:marRight w:val="0"/>
                  <w:marTop w:val="0"/>
                  <w:marBottom w:val="750"/>
                  <w:divBdr>
                    <w:top w:val="single" w:sz="6" w:space="9" w:color="DDDDDD"/>
                    <w:left w:val="single" w:sz="6" w:space="9" w:color="DDDDDD"/>
                    <w:bottom w:val="single" w:sz="6" w:space="9" w:color="DDDDDD"/>
                    <w:right w:val="single" w:sz="6" w:space="9" w:color="DDDDDD"/>
                  </w:divBdr>
                  <w:divsChild>
                    <w:div w:id="1984844042">
                      <w:marLeft w:val="180"/>
                      <w:marRight w:val="0"/>
                      <w:marTop w:val="0"/>
                      <w:marBottom w:val="0"/>
                      <w:divBdr>
                        <w:top w:val="none" w:sz="0" w:space="0" w:color="auto"/>
                        <w:left w:val="none" w:sz="0" w:space="0" w:color="auto"/>
                        <w:bottom w:val="none" w:sz="0" w:space="0" w:color="auto"/>
                        <w:right w:val="none" w:sz="0" w:space="0" w:color="auto"/>
                      </w:divBdr>
                    </w:div>
                    <w:div w:id="102386537">
                      <w:marLeft w:val="0"/>
                      <w:marRight w:val="0"/>
                      <w:marTop w:val="0"/>
                      <w:marBottom w:val="0"/>
                      <w:divBdr>
                        <w:top w:val="none" w:sz="0" w:space="0" w:color="auto"/>
                        <w:left w:val="none" w:sz="0" w:space="0" w:color="auto"/>
                        <w:bottom w:val="none" w:sz="0" w:space="0" w:color="auto"/>
                        <w:right w:val="none" w:sz="0" w:space="0" w:color="auto"/>
                      </w:divBdr>
                      <w:divsChild>
                        <w:div w:id="234902480">
                          <w:marLeft w:val="2695"/>
                          <w:marRight w:val="0"/>
                          <w:marTop w:val="300"/>
                          <w:marBottom w:val="300"/>
                          <w:divBdr>
                            <w:top w:val="single" w:sz="6" w:space="11" w:color="292D36"/>
                            <w:left w:val="single" w:sz="6" w:space="31" w:color="292D36"/>
                            <w:bottom w:val="single" w:sz="6" w:space="11" w:color="292D36"/>
                            <w:right w:val="single" w:sz="6" w:space="31" w:color="292D36"/>
                          </w:divBdr>
                        </w:div>
                      </w:divsChild>
                    </w:div>
                  </w:divsChild>
                </w:div>
              </w:divsChild>
            </w:div>
          </w:divsChild>
        </w:div>
        <w:div w:id="777991634">
          <w:marLeft w:val="600"/>
          <w:marRight w:val="600"/>
          <w:marTop w:val="0"/>
          <w:marBottom w:val="450"/>
          <w:divBdr>
            <w:top w:val="none" w:sz="0" w:space="0" w:color="auto"/>
            <w:left w:val="none" w:sz="0" w:space="0" w:color="auto"/>
            <w:bottom w:val="none" w:sz="0" w:space="0" w:color="auto"/>
            <w:right w:val="none" w:sz="0" w:space="0" w:color="auto"/>
          </w:divBdr>
        </w:div>
        <w:div w:id="1067074724">
          <w:marLeft w:val="0"/>
          <w:marRight w:val="0"/>
          <w:marTop w:val="0"/>
          <w:marBottom w:val="0"/>
          <w:divBdr>
            <w:top w:val="none" w:sz="0" w:space="0" w:color="auto"/>
            <w:left w:val="none" w:sz="0" w:space="0" w:color="auto"/>
            <w:bottom w:val="none" w:sz="0" w:space="0" w:color="auto"/>
            <w:right w:val="none" w:sz="0" w:space="0" w:color="auto"/>
          </w:divBdr>
          <w:divsChild>
            <w:div w:id="1132863459">
              <w:marLeft w:val="0"/>
              <w:marRight w:val="0"/>
              <w:marTop w:val="0"/>
              <w:marBottom w:val="450"/>
              <w:divBdr>
                <w:top w:val="none" w:sz="0" w:space="0" w:color="auto"/>
                <w:left w:val="none" w:sz="0" w:space="0" w:color="auto"/>
                <w:bottom w:val="none" w:sz="0" w:space="0" w:color="auto"/>
                <w:right w:val="none" w:sz="0" w:space="0" w:color="auto"/>
              </w:divBdr>
              <w:divsChild>
                <w:div w:id="1548301855">
                  <w:marLeft w:val="0"/>
                  <w:marRight w:val="0"/>
                  <w:marTop w:val="0"/>
                  <w:marBottom w:val="0"/>
                  <w:divBdr>
                    <w:top w:val="none" w:sz="0" w:space="0" w:color="auto"/>
                    <w:left w:val="none" w:sz="0" w:space="0" w:color="auto"/>
                    <w:bottom w:val="none" w:sz="0" w:space="0" w:color="auto"/>
                    <w:right w:val="none" w:sz="0" w:space="0" w:color="auto"/>
                  </w:divBdr>
                  <w:divsChild>
                    <w:div w:id="1267423064">
                      <w:marLeft w:val="0"/>
                      <w:marRight w:val="0"/>
                      <w:marTop w:val="0"/>
                      <w:marBottom w:val="0"/>
                      <w:divBdr>
                        <w:top w:val="none" w:sz="0" w:space="0" w:color="auto"/>
                        <w:left w:val="none" w:sz="0" w:space="0" w:color="auto"/>
                        <w:bottom w:val="none" w:sz="0" w:space="0" w:color="auto"/>
                        <w:right w:val="none" w:sz="0" w:space="0" w:color="auto"/>
                      </w:divBdr>
                      <w:divsChild>
                        <w:div w:id="1110130844">
                          <w:marLeft w:val="-2100"/>
                          <w:marRight w:val="0"/>
                          <w:marTop w:val="0"/>
                          <w:marBottom w:val="0"/>
                          <w:divBdr>
                            <w:top w:val="none" w:sz="0" w:space="0" w:color="auto"/>
                            <w:left w:val="none" w:sz="0" w:space="0" w:color="auto"/>
                            <w:bottom w:val="none" w:sz="0" w:space="0" w:color="auto"/>
                            <w:right w:val="none" w:sz="0" w:space="0" w:color="auto"/>
                          </w:divBdr>
                          <w:divsChild>
                            <w:div w:id="12330761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917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f-mag.fr/Breves/Quelles-solutions-passer-cap-cloture-comptes-annuels-55375.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Chritiane THELLIER</dc:creator>
  <cp:lastModifiedBy>pc006</cp:lastModifiedBy>
  <cp:revision>2</cp:revision>
  <dcterms:created xsi:type="dcterms:W3CDTF">2018-09-25T09:30:00Z</dcterms:created>
  <dcterms:modified xsi:type="dcterms:W3CDTF">2018-09-25T09:30:00Z</dcterms:modified>
</cp:coreProperties>
</file>